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4C08" w14:textId="77777777" w:rsidR="00CB04F9" w:rsidRDefault="00F83520">
      <w:pPr>
        <w:pStyle w:val="BodyText"/>
        <w:ind w:left="564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GB"/>
        </w:rPr>
        <w:drawing>
          <wp:inline distT="0" distB="0" distL="0" distR="0" wp14:anchorId="5D174C44" wp14:editId="5D174C45">
            <wp:extent cx="2180121" cy="719327"/>
            <wp:effectExtent l="0" t="0" r="0" b="0"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121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74C09" w14:textId="77777777" w:rsidR="00CB04F9" w:rsidRDefault="00CB04F9">
      <w:pPr>
        <w:pStyle w:val="BodyText"/>
        <w:rPr>
          <w:rFonts w:ascii="Times New Roman"/>
          <w:sz w:val="20"/>
        </w:rPr>
      </w:pPr>
    </w:p>
    <w:p w14:paraId="5D174C0A" w14:textId="77777777" w:rsidR="00CB04F9" w:rsidRDefault="00CB04F9">
      <w:pPr>
        <w:pStyle w:val="BodyText"/>
        <w:rPr>
          <w:rFonts w:ascii="Times New Roman"/>
          <w:sz w:val="20"/>
        </w:rPr>
      </w:pPr>
    </w:p>
    <w:p w14:paraId="5D174C0B" w14:textId="77777777" w:rsidR="00CB04F9" w:rsidRDefault="00CB04F9">
      <w:pPr>
        <w:pStyle w:val="BodyText"/>
        <w:rPr>
          <w:rFonts w:ascii="Times New Roman"/>
          <w:sz w:val="20"/>
        </w:rPr>
      </w:pPr>
    </w:p>
    <w:p w14:paraId="5D174C0C" w14:textId="77777777" w:rsidR="00CB04F9" w:rsidRDefault="00CB04F9">
      <w:pPr>
        <w:pStyle w:val="BodyText"/>
        <w:rPr>
          <w:rFonts w:ascii="Times New Roman"/>
          <w:sz w:val="20"/>
        </w:rPr>
      </w:pPr>
    </w:p>
    <w:p w14:paraId="5D174C0D" w14:textId="77777777" w:rsidR="00CB04F9" w:rsidRDefault="00CB04F9">
      <w:pPr>
        <w:pStyle w:val="BodyText"/>
        <w:rPr>
          <w:rFonts w:ascii="Times New Roman"/>
          <w:sz w:val="20"/>
        </w:rPr>
      </w:pPr>
    </w:p>
    <w:p w14:paraId="5D174C0E" w14:textId="77777777" w:rsidR="00CB04F9" w:rsidRDefault="00CB04F9">
      <w:pPr>
        <w:pStyle w:val="BodyText"/>
        <w:rPr>
          <w:rFonts w:ascii="Times New Roman"/>
          <w:sz w:val="20"/>
        </w:rPr>
      </w:pPr>
    </w:p>
    <w:p w14:paraId="5D174C0F" w14:textId="77777777" w:rsidR="00CB04F9" w:rsidRDefault="00CB04F9">
      <w:pPr>
        <w:pStyle w:val="BodyText"/>
        <w:rPr>
          <w:rFonts w:ascii="Times New Roman"/>
          <w:sz w:val="20"/>
        </w:rPr>
      </w:pPr>
    </w:p>
    <w:p w14:paraId="5D174C10" w14:textId="77777777" w:rsidR="00CB04F9" w:rsidRDefault="00CB04F9">
      <w:pPr>
        <w:pStyle w:val="BodyText"/>
        <w:rPr>
          <w:rFonts w:ascii="Times New Roman"/>
          <w:sz w:val="20"/>
        </w:rPr>
      </w:pPr>
    </w:p>
    <w:p w14:paraId="5D174C11" w14:textId="77777777" w:rsidR="00CB04F9" w:rsidRDefault="00CB04F9">
      <w:pPr>
        <w:pStyle w:val="BodyText"/>
        <w:rPr>
          <w:rFonts w:ascii="Times New Roman"/>
          <w:sz w:val="20"/>
        </w:rPr>
      </w:pPr>
    </w:p>
    <w:p w14:paraId="5D174C12" w14:textId="77777777" w:rsidR="00CB04F9" w:rsidRDefault="00CB04F9">
      <w:pPr>
        <w:pStyle w:val="BodyText"/>
        <w:spacing w:before="5"/>
        <w:rPr>
          <w:rFonts w:ascii="Times New Roman"/>
          <w:sz w:val="21"/>
        </w:rPr>
      </w:pPr>
    </w:p>
    <w:p w14:paraId="5D174C13" w14:textId="77777777" w:rsidR="00CB04F9" w:rsidRDefault="00F83520">
      <w:pPr>
        <w:spacing w:before="92"/>
        <w:ind w:left="915" w:right="1051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BRIBERY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2010</w:t>
      </w:r>
    </w:p>
    <w:p w14:paraId="5D174C14" w14:textId="77777777" w:rsidR="00CB04F9" w:rsidRDefault="00CB04F9">
      <w:pPr>
        <w:pStyle w:val="BodyText"/>
        <w:spacing w:before="5"/>
        <w:rPr>
          <w:b/>
          <w:sz w:val="38"/>
        </w:rPr>
      </w:pPr>
    </w:p>
    <w:p w14:paraId="5D174C15" w14:textId="77777777" w:rsidR="00CB04F9" w:rsidRDefault="00F83520">
      <w:pPr>
        <w:ind w:left="916" w:right="1051"/>
        <w:jc w:val="center"/>
        <w:rPr>
          <w:b/>
          <w:sz w:val="24"/>
        </w:rPr>
      </w:pPr>
      <w:r>
        <w:rPr>
          <w:b/>
          <w:sz w:val="24"/>
        </w:rPr>
        <w:t>ANTI-BRIBERY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STATEMENT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EAST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LINCOLNSHIRE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CLINICAL</w:t>
      </w:r>
    </w:p>
    <w:p w14:paraId="5D174C16" w14:textId="7C77BC32" w:rsidR="00CB04F9" w:rsidRDefault="00F83520">
      <w:pPr>
        <w:spacing w:before="82"/>
        <w:ind w:left="914" w:right="1051"/>
        <w:jc w:val="center"/>
        <w:rPr>
          <w:b/>
          <w:sz w:val="24"/>
        </w:rPr>
      </w:pPr>
      <w:r>
        <w:rPr>
          <w:b/>
          <w:sz w:val="24"/>
        </w:rPr>
        <w:t>COMMISSIONING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GROUP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(The</w:t>
      </w:r>
      <w:r>
        <w:rPr>
          <w:b/>
          <w:spacing w:val="-3"/>
          <w:sz w:val="24"/>
        </w:rPr>
        <w:t xml:space="preserve"> </w:t>
      </w:r>
      <w:r w:rsidR="00BF4E2F">
        <w:rPr>
          <w:b/>
          <w:sz w:val="24"/>
        </w:rPr>
        <w:t>CCG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Board’s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Anti-Bribery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Statement)</w:t>
      </w:r>
    </w:p>
    <w:p w14:paraId="5D174C17" w14:textId="77777777" w:rsidR="00CB04F9" w:rsidRDefault="00CB04F9">
      <w:pPr>
        <w:pStyle w:val="BodyText"/>
        <w:rPr>
          <w:b/>
          <w:sz w:val="26"/>
        </w:rPr>
      </w:pPr>
    </w:p>
    <w:p w14:paraId="5D174C18" w14:textId="77777777" w:rsidR="00CB04F9" w:rsidRDefault="00CB04F9">
      <w:pPr>
        <w:pStyle w:val="BodyText"/>
        <w:spacing w:before="8"/>
        <w:rPr>
          <w:b/>
          <w:sz w:val="33"/>
        </w:rPr>
      </w:pPr>
    </w:p>
    <w:p w14:paraId="5D174C19" w14:textId="30A5F599" w:rsidR="00CB04F9" w:rsidRDefault="00F83520" w:rsidP="00EA7D5F">
      <w:pPr>
        <w:pStyle w:val="BodyText"/>
        <w:spacing w:line="312" w:lineRule="auto"/>
        <w:ind w:left="104" w:right="245"/>
        <w:jc w:val="both"/>
      </w:pPr>
      <w:r>
        <w:t xml:space="preserve">North East Lincolnshire Clinical Commissioning Group (The </w:t>
      </w:r>
      <w:r w:rsidR="00BF4E2F">
        <w:t>CCG</w:t>
      </w:r>
      <w:r>
        <w:t>) recognises that bribery is a</w:t>
      </w:r>
      <w:r w:rsidR="00AE2A23">
        <w:t xml:space="preserve"> </w:t>
      </w:r>
      <w:r>
        <w:rPr>
          <w:spacing w:val="-64"/>
        </w:rPr>
        <w:t xml:space="preserve"> </w:t>
      </w:r>
      <w:r w:rsidR="00BF4E2F">
        <w:rPr>
          <w:spacing w:val="-64"/>
        </w:rPr>
        <w:t xml:space="preserve"> </w:t>
      </w:r>
      <w:r>
        <w:t>hugely damaging practice that undermines the reputation of public and private bodies</w:t>
      </w:r>
      <w:r>
        <w:rPr>
          <w:spacing w:val="1"/>
        </w:rPr>
        <w:t xml:space="preserve"> </w:t>
      </w:r>
      <w:r>
        <w:t>involved.</w:t>
      </w:r>
      <w:r>
        <w:rPr>
          <w:spacing w:val="1"/>
        </w:rPr>
        <w:t xml:space="preserve"> </w:t>
      </w:r>
      <w:r>
        <w:t xml:space="preserve">This statement demonstrates the </w:t>
      </w:r>
      <w:r w:rsidR="00BF4E2F">
        <w:t>CCG</w:t>
      </w:r>
      <w:r>
        <w:t>’s commitment to preventing bribery.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BF4E2F">
        <w:t>CCG</w:t>
      </w:r>
      <w:r>
        <w:t xml:space="preserve"> welcomes the Bribery Act 2010 (the Act</w:t>
      </w:r>
      <w:proofErr w:type="gramStart"/>
      <w:r>
        <w:t>)</w:t>
      </w:r>
      <w:proofErr w:type="gramEnd"/>
      <w:r>
        <w:t xml:space="preserve"> and it is the policy of the </w:t>
      </w:r>
      <w:r w:rsidR="00BF4E2F">
        <w:t>CCG</w:t>
      </w:r>
      <w:r>
        <w:t xml:space="preserve"> is to act with</w:t>
      </w:r>
      <w:r>
        <w:rPr>
          <w:spacing w:val="1"/>
        </w:rPr>
        <w:t xml:space="preserve"> </w:t>
      </w:r>
      <w:r>
        <w:t>integrity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 seek to</w:t>
      </w:r>
      <w:r>
        <w:rPr>
          <w:spacing w:val="-1"/>
        </w:rPr>
        <w:t xml:space="preserve"> </w:t>
      </w:r>
      <w:r>
        <w:t>prevent bribery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corruption.</w:t>
      </w:r>
    </w:p>
    <w:p w14:paraId="5D174C1A" w14:textId="77777777" w:rsidR="00CB04F9" w:rsidRDefault="00CB04F9" w:rsidP="00EA7D5F">
      <w:pPr>
        <w:pStyle w:val="BodyText"/>
        <w:spacing w:before="3"/>
        <w:jc w:val="both"/>
      </w:pPr>
    </w:p>
    <w:p w14:paraId="5D174C1B" w14:textId="7C43B313" w:rsidR="00CB04F9" w:rsidRDefault="00F83520" w:rsidP="00EA7D5F">
      <w:pPr>
        <w:pStyle w:val="BodyText"/>
        <w:spacing w:before="1" w:line="312" w:lineRule="auto"/>
        <w:ind w:left="104" w:right="310"/>
        <w:jc w:val="both"/>
      </w:pPr>
      <w:r>
        <w:t xml:space="preserve">The </w:t>
      </w:r>
      <w:r w:rsidR="00BF4E2F">
        <w:t>CCG</w:t>
      </w:r>
      <w:r>
        <w:t xml:space="preserve"> will implement and enforce effective systems to counter bribery </w:t>
      </w:r>
      <w:r w:rsidR="00821423">
        <w:t xml:space="preserve">as set out in the </w:t>
      </w:r>
      <w:r w:rsidR="00CF723D">
        <w:t>CCG’s Counter</w:t>
      </w:r>
      <w:r w:rsidR="00821423">
        <w:t xml:space="preserve"> Fraud, Bribery and Corruption policy that sets out</w:t>
      </w:r>
      <w:r>
        <w:t xml:space="preserve"> the </w:t>
      </w:r>
      <w:r w:rsidR="00BF4E2F">
        <w:t>CCG</w:t>
      </w:r>
      <w:r>
        <w:t>’s procedures designed to prevent all persons</w:t>
      </w:r>
      <w:r>
        <w:rPr>
          <w:spacing w:val="-64"/>
        </w:rPr>
        <w:t xml:space="preserve"> </w:t>
      </w:r>
      <w:r>
        <w:t>associated with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BF4E2F">
        <w:t>CCG</w:t>
      </w:r>
      <w:r>
        <w:t xml:space="preserve"> undertaking</w:t>
      </w:r>
      <w:r>
        <w:rPr>
          <w:spacing w:val="-2"/>
        </w:rPr>
        <w:t xml:space="preserve"> </w:t>
      </w:r>
      <w:r>
        <w:t>acts</w:t>
      </w:r>
      <w:r>
        <w:rPr>
          <w:spacing w:val="-2"/>
        </w:rPr>
        <w:t xml:space="preserve"> </w:t>
      </w:r>
      <w:r>
        <w:t>of bribery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corruption.</w:t>
      </w:r>
    </w:p>
    <w:p w14:paraId="5D174C1C" w14:textId="77777777" w:rsidR="00CB04F9" w:rsidRDefault="00CB04F9" w:rsidP="00EA7D5F">
      <w:pPr>
        <w:pStyle w:val="BodyText"/>
        <w:spacing w:before="3"/>
        <w:jc w:val="both"/>
      </w:pPr>
    </w:p>
    <w:p w14:paraId="5D174C1D" w14:textId="631AE058" w:rsidR="00CB04F9" w:rsidRDefault="00F83520" w:rsidP="00EA7D5F">
      <w:pPr>
        <w:pStyle w:val="BodyText"/>
        <w:spacing w:line="312" w:lineRule="auto"/>
        <w:ind w:left="104" w:right="277"/>
        <w:jc w:val="both"/>
      </w:pPr>
      <w:r>
        <w:t xml:space="preserve">The </w:t>
      </w:r>
      <w:r w:rsidR="00BF4E2F">
        <w:t>CCG</w:t>
      </w:r>
      <w:r>
        <w:t xml:space="preserve"> will uphold all laws relevant to countering bribery and corruption including those</w:t>
      </w:r>
      <w:r>
        <w:rPr>
          <w:spacing w:val="1"/>
        </w:rPr>
        <w:t xml:space="preserve"> </w:t>
      </w:r>
      <w:r>
        <w:t xml:space="preserve">under the Bribery Act 2010 in respect of every aspect of the </w:t>
      </w:r>
      <w:r w:rsidR="00BF4E2F">
        <w:t>CCG</w:t>
      </w:r>
      <w:r>
        <w:t>’s business.</w:t>
      </w:r>
      <w:r>
        <w:rPr>
          <w:spacing w:val="1"/>
        </w:rPr>
        <w:t xml:space="preserve"> </w:t>
      </w:r>
      <w:r>
        <w:t>Bribery and</w:t>
      </w:r>
      <w:r>
        <w:rPr>
          <w:spacing w:val="1"/>
        </w:rPr>
        <w:t xml:space="preserve"> </w:t>
      </w:r>
      <w:r>
        <w:t>corruption under the Act are punishable for individuals by up to ten years' imprisonment and if</w:t>
      </w:r>
      <w:r>
        <w:rPr>
          <w:spacing w:val="-64"/>
        </w:rPr>
        <w:t xml:space="preserve"> </w:t>
      </w:r>
      <w:r>
        <w:t xml:space="preserve">the </w:t>
      </w:r>
      <w:r w:rsidR="00BF4E2F">
        <w:t>CCG</w:t>
      </w:r>
      <w:r>
        <w:t xml:space="preserve"> is found to have taken part in corruption the </w:t>
      </w:r>
      <w:r w:rsidR="00BF4E2F">
        <w:t>CCG</w:t>
      </w:r>
      <w:r>
        <w:t xml:space="preserve"> could face an unlimited </w:t>
      </w:r>
      <w:r w:rsidR="00CF723D">
        <w:t>fine and</w:t>
      </w:r>
      <w:r>
        <w:rPr>
          <w:spacing w:val="1"/>
        </w:rPr>
        <w:t xml:space="preserve"> </w:t>
      </w:r>
      <w:r>
        <w:t xml:space="preserve">face incalculable damage to its reputation. The </w:t>
      </w:r>
      <w:r w:rsidR="00BF4E2F">
        <w:t>CCG</w:t>
      </w:r>
      <w:r>
        <w:t xml:space="preserve"> therefore takes its legal responsibilities</w:t>
      </w:r>
      <w:r>
        <w:rPr>
          <w:spacing w:val="1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seriously.</w:t>
      </w:r>
    </w:p>
    <w:p w14:paraId="5D174C1E" w14:textId="77777777" w:rsidR="00CB04F9" w:rsidRDefault="00CB04F9" w:rsidP="00EA7D5F">
      <w:pPr>
        <w:pStyle w:val="BodyText"/>
        <w:spacing w:before="5"/>
        <w:jc w:val="both"/>
      </w:pPr>
    </w:p>
    <w:p w14:paraId="5D174C1F" w14:textId="68E2CF8A" w:rsidR="00CB04F9" w:rsidRDefault="00F83520" w:rsidP="00EA7D5F">
      <w:pPr>
        <w:pStyle w:val="BodyText"/>
        <w:spacing w:line="312" w:lineRule="auto"/>
        <w:ind w:left="104" w:right="1285"/>
        <w:jc w:val="both"/>
      </w:pPr>
      <w:r>
        <w:t xml:space="preserve">Any act of bribery undertaken by a </w:t>
      </w:r>
      <w:r w:rsidR="00CF723D">
        <w:t>member,</w:t>
      </w:r>
      <w:r>
        <w:t xml:space="preserve"> or an employee of the </w:t>
      </w:r>
      <w:r w:rsidR="00BF4E2F">
        <w:t>CCG</w:t>
      </w:r>
      <w:r>
        <w:t xml:space="preserve"> will result </w:t>
      </w:r>
      <w:r w:rsidR="00CF723D">
        <w:t xml:space="preserve">in disciplinary action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treated</w:t>
      </w:r>
      <w:r>
        <w:rPr>
          <w:spacing w:val="-3"/>
        </w:rPr>
        <w:t xml:space="preserve"> </w:t>
      </w:r>
      <w:r>
        <w:t>extremely</w:t>
      </w:r>
      <w:r>
        <w:rPr>
          <w:spacing w:val="-3"/>
        </w:rPr>
        <w:t xml:space="preserve"> </w:t>
      </w:r>
      <w:r>
        <w:t>seriously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 xml:space="preserve">the </w:t>
      </w:r>
      <w:r w:rsidR="00BF4E2F">
        <w:t>CCG</w:t>
      </w:r>
      <w:r>
        <w:t>’s</w:t>
      </w:r>
      <w:r>
        <w:rPr>
          <w:spacing w:val="-1"/>
        </w:rPr>
        <w:t xml:space="preserve"> </w:t>
      </w:r>
      <w:r>
        <w:t>Board.</w:t>
      </w:r>
    </w:p>
    <w:p w14:paraId="5D174C20" w14:textId="77777777" w:rsidR="00CB04F9" w:rsidRDefault="00CB04F9" w:rsidP="00EA7D5F">
      <w:pPr>
        <w:pStyle w:val="BodyText"/>
        <w:spacing w:before="5"/>
        <w:jc w:val="both"/>
      </w:pPr>
    </w:p>
    <w:p w14:paraId="5D174C21" w14:textId="596424F5" w:rsidR="00CB04F9" w:rsidRDefault="00F83520" w:rsidP="00EA7D5F">
      <w:pPr>
        <w:pStyle w:val="BodyText"/>
        <w:spacing w:line="312" w:lineRule="auto"/>
        <w:ind w:left="104" w:right="644"/>
        <w:jc w:val="both"/>
      </w:pPr>
      <w:r>
        <w:t xml:space="preserve">The </w:t>
      </w:r>
      <w:r w:rsidR="00BF4E2F">
        <w:t>CCG</w:t>
      </w:r>
      <w:r>
        <w:t xml:space="preserve">’s Board recognise that a </w:t>
      </w:r>
      <w:r w:rsidR="00CF723D">
        <w:t>zero-tolerance</w:t>
      </w:r>
      <w:r>
        <w:t xml:space="preserve"> approach towards bribery demonstrates</w:t>
      </w:r>
      <w:r>
        <w:rPr>
          <w:spacing w:val="-64"/>
        </w:rPr>
        <w:t xml:space="preserve"> </w:t>
      </w:r>
      <w:r>
        <w:t xml:space="preserve">that the </w:t>
      </w:r>
      <w:r w:rsidR="00BF4E2F">
        <w:t>CCG</w:t>
      </w:r>
      <w:r>
        <w:t xml:space="preserve"> has a reputation for </w:t>
      </w:r>
      <w:proofErr w:type="spellStart"/>
      <w:r>
        <w:t>honest</w:t>
      </w:r>
      <w:proofErr w:type="spellEnd"/>
      <w:r>
        <w:t xml:space="preserve"> and ethical </w:t>
      </w:r>
      <w:r w:rsidR="00CF723D">
        <w:t>practice and</w:t>
      </w:r>
      <w:r>
        <w:t xml:space="preserve"> instils confidence in our</w:t>
      </w:r>
      <w:r>
        <w:rPr>
          <w:spacing w:val="-64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and wider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BF4E2F">
        <w:t>CCG</w:t>
      </w:r>
      <w:r>
        <w:t xml:space="preserve"> is</w:t>
      </w:r>
      <w:r>
        <w:rPr>
          <w:spacing w:val="-1"/>
        </w:rPr>
        <w:t xml:space="preserve"> </w:t>
      </w:r>
      <w:r>
        <w:t>governed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principles.</w:t>
      </w:r>
    </w:p>
    <w:p w14:paraId="5D174C22" w14:textId="77777777" w:rsidR="00CB04F9" w:rsidRDefault="00CB04F9" w:rsidP="00EA7D5F">
      <w:pPr>
        <w:pStyle w:val="BodyText"/>
        <w:jc w:val="both"/>
        <w:rPr>
          <w:sz w:val="26"/>
        </w:rPr>
      </w:pPr>
    </w:p>
    <w:p w14:paraId="5D174C24" w14:textId="77777777" w:rsidR="00CB04F9" w:rsidRDefault="00F83520" w:rsidP="00EA7D5F">
      <w:pPr>
        <w:pStyle w:val="BodyText"/>
        <w:ind w:left="104"/>
        <w:jc w:val="both"/>
      </w:pPr>
      <w:r>
        <w:t>One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six</w:t>
      </w:r>
      <w:r>
        <w:rPr>
          <w:spacing w:val="3"/>
        </w:rPr>
        <w:t xml:space="preserve"> </w:t>
      </w:r>
      <w:r>
        <w:t>principles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Act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there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top</w:t>
      </w:r>
      <w:r>
        <w:rPr>
          <w:spacing w:val="5"/>
        </w:rPr>
        <w:t xml:space="preserve"> </w:t>
      </w:r>
      <w:r>
        <w:t>level</w:t>
      </w:r>
      <w:r>
        <w:rPr>
          <w:spacing w:val="5"/>
        </w:rPr>
        <w:t xml:space="preserve"> </w:t>
      </w:r>
      <w:r>
        <w:t>commitment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organisation</w:t>
      </w:r>
      <w:r>
        <w:rPr>
          <w:spacing w:val="6"/>
        </w:rPr>
        <w:t xml:space="preserve"> </w:t>
      </w:r>
      <w:r>
        <w:t>to</w:t>
      </w:r>
    </w:p>
    <w:p w14:paraId="5D174C26" w14:textId="77777777" w:rsidR="00CB04F9" w:rsidRDefault="00F83520" w:rsidP="00EA7D5F">
      <w:pPr>
        <w:pStyle w:val="BodyText"/>
        <w:spacing w:before="74" w:line="312" w:lineRule="auto"/>
        <w:ind w:left="104" w:right="238"/>
        <w:jc w:val="both"/>
      </w:pPr>
      <w:r>
        <w:t>the</w:t>
      </w:r>
      <w:r>
        <w:rPr>
          <w:spacing w:val="1"/>
        </w:rPr>
        <w:t xml:space="preserve"> </w:t>
      </w:r>
      <w:r>
        <w:t>prevention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bribery.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Directors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North</w:t>
      </w:r>
      <w:r>
        <w:rPr>
          <w:spacing w:val="1"/>
        </w:rPr>
        <w:t xml:space="preserve"> </w:t>
      </w:r>
      <w:r>
        <w:t>East</w:t>
      </w:r>
      <w:r>
        <w:rPr>
          <w:spacing w:val="1"/>
        </w:rPr>
        <w:t xml:space="preserve"> </w:t>
      </w:r>
      <w:r>
        <w:t>Lincolnshire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Commissioning Group are committed to this and will discuss the Act at its Board meetings, to</w:t>
      </w:r>
      <w:r>
        <w:rPr>
          <w:spacing w:val="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communicate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transparency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openness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times.</w:t>
      </w:r>
    </w:p>
    <w:p w14:paraId="5D174C27" w14:textId="77777777" w:rsidR="00CB04F9" w:rsidRDefault="00CB04F9" w:rsidP="00EA7D5F">
      <w:pPr>
        <w:pStyle w:val="BodyText"/>
        <w:spacing w:before="6"/>
        <w:jc w:val="both"/>
      </w:pPr>
    </w:p>
    <w:p w14:paraId="5D174C28" w14:textId="174D36DC" w:rsidR="00CB04F9" w:rsidRDefault="00F83520" w:rsidP="00EA7D5F">
      <w:pPr>
        <w:pStyle w:val="BodyText"/>
        <w:spacing w:line="312" w:lineRule="auto"/>
        <w:ind w:left="104" w:right="310"/>
        <w:jc w:val="both"/>
      </w:pPr>
      <w:r>
        <w:lastRenderedPageBreak/>
        <w:t>A Board member has been identified as the lead person in the organisation for the prevention</w:t>
      </w:r>
      <w:r>
        <w:rPr>
          <w:spacing w:val="-6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bribery</w:t>
      </w:r>
      <w:r w:rsidR="00AE2A23">
        <w:t>.</w:t>
      </w:r>
    </w:p>
    <w:p w14:paraId="5D174C29" w14:textId="77777777" w:rsidR="00CB04F9" w:rsidRDefault="00CB04F9" w:rsidP="00EA7D5F">
      <w:pPr>
        <w:pStyle w:val="BodyText"/>
        <w:spacing w:before="2"/>
        <w:jc w:val="both"/>
      </w:pPr>
    </w:p>
    <w:p w14:paraId="5D174C2A" w14:textId="182A42EE" w:rsidR="00CB04F9" w:rsidRDefault="00F83520" w:rsidP="00EA7D5F">
      <w:pPr>
        <w:pStyle w:val="BodyText"/>
        <w:spacing w:line="312" w:lineRule="auto"/>
        <w:ind w:left="104" w:right="404"/>
        <w:jc w:val="both"/>
      </w:pPr>
      <w:r>
        <w:t xml:space="preserve">As an NHS organisation, the </w:t>
      </w:r>
      <w:r w:rsidR="00BF4E2F">
        <w:t>CCG</w:t>
      </w:r>
      <w:r>
        <w:t xml:space="preserve"> follows good NHS Business Practice and has robust</w:t>
      </w:r>
      <w:r>
        <w:rPr>
          <w:spacing w:val="1"/>
        </w:rPr>
        <w:t xml:space="preserve"> </w:t>
      </w:r>
      <w:r>
        <w:t xml:space="preserve">controls in place to prevent bribery. The </w:t>
      </w:r>
      <w:r w:rsidR="00BF4E2F">
        <w:t>CCG</w:t>
      </w:r>
      <w:r>
        <w:t xml:space="preserve"> will work closely with the NHS Counter Fraud</w:t>
      </w:r>
      <w:r>
        <w:rPr>
          <w:spacing w:val="1"/>
        </w:rPr>
        <w:t xml:space="preserve"> </w:t>
      </w:r>
      <w:r>
        <w:t xml:space="preserve">Authority, to investigate thoroughly if any claims of bribery or corruption are made. The </w:t>
      </w:r>
      <w:r w:rsidR="00BF4E2F">
        <w:t>CCG</w:t>
      </w:r>
      <w:r>
        <w:rPr>
          <w:spacing w:val="-64"/>
        </w:rPr>
        <w:t xml:space="preserve"> </w:t>
      </w:r>
      <w:r>
        <w:t>has reviewed its policies and procedures in the light of the Act to ensure organisational</w:t>
      </w:r>
      <w:r>
        <w:rPr>
          <w:spacing w:val="1"/>
        </w:rPr>
        <w:t xml:space="preserve"> </w:t>
      </w:r>
      <w:r>
        <w:t>compliance.</w:t>
      </w:r>
    </w:p>
    <w:p w14:paraId="5D174C2B" w14:textId="77777777" w:rsidR="00CB04F9" w:rsidRDefault="00CB04F9" w:rsidP="00EA7D5F">
      <w:pPr>
        <w:pStyle w:val="BodyText"/>
        <w:spacing w:before="4"/>
        <w:jc w:val="both"/>
      </w:pPr>
    </w:p>
    <w:p w14:paraId="5D174C2C" w14:textId="285654CB" w:rsidR="00CB04F9" w:rsidRDefault="00F83520" w:rsidP="00EA7D5F">
      <w:pPr>
        <w:pStyle w:val="BodyText"/>
        <w:spacing w:line="312" w:lineRule="auto"/>
        <w:ind w:left="104" w:right="618"/>
        <w:jc w:val="both"/>
      </w:pPr>
      <w:r>
        <w:t xml:space="preserve">On behalf of the </w:t>
      </w:r>
      <w:r w:rsidR="00BF4E2F">
        <w:t>CCG</w:t>
      </w:r>
      <w:r>
        <w:t xml:space="preserve"> I confirm our commitment to ensuring that all staff are aware of their</w:t>
      </w:r>
      <w:r>
        <w:rPr>
          <w:spacing w:val="-64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relation to</w:t>
      </w:r>
      <w:r>
        <w:rPr>
          <w:spacing w:val="1"/>
        </w:rPr>
        <w:t xml:space="preserve"> </w:t>
      </w:r>
      <w:r>
        <w:t>the prevention</w:t>
      </w:r>
      <w:r>
        <w:rPr>
          <w:spacing w:val="-1"/>
        </w:rPr>
        <w:t xml:space="preserve"> </w:t>
      </w:r>
      <w:r>
        <w:t>of Bribery.</w:t>
      </w:r>
    </w:p>
    <w:p w14:paraId="5D174C2D" w14:textId="77777777" w:rsidR="00CB04F9" w:rsidRDefault="00CB04F9" w:rsidP="00EA7D5F">
      <w:pPr>
        <w:pStyle w:val="BodyText"/>
        <w:spacing w:before="10"/>
        <w:jc w:val="both"/>
        <w:rPr>
          <w:sz w:val="21"/>
        </w:rPr>
      </w:pPr>
    </w:p>
    <w:p w14:paraId="5D174C2E" w14:textId="77777777" w:rsidR="00CB04F9" w:rsidRDefault="00F83520" w:rsidP="00EA7D5F">
      <w:pPr>
        <w:ind w:left="104" w:right="1232"/>
        <w:jc w:val="both"/>
      </w:pPr>
      <w:r>
        <w:t xml:space="preserve">For further information see </w:t>
      </w:r>
      <w:hyperlink r:id="rId5">
        <w:r>
          <w:rPr>
            <w:color w:val="0000FF"/>
            <w:u w:val="single" w:color="0000FF"/>
          </w:rPr>
          <w:t>http://www.justice.gov.uk/downloads/legislation/bribery-act-2010-</w:t>
        </w:r>
      </w:hyperlink>
      <w:r>
        <w:rPr>
          <w:color w:val="0000FF"/>
          <w:spacing w:val="-59"/>
        </w:rPr>
        <w:t xml:space="preserve"> </w:t>
      </w:r>
      <w:hyperlink r:id="rId6">
        <w:r>
          <w:rPr>
            <w:color w:val="0000FF"/>
            <w:u w:val="single" w:color="0000FF"/>
          </w:rPr>
          <w:t>guidance.pdf</w:t>
        </w:r>
      </w:hyperlink>
    </w:p>
    <w:p w14:paraId="5D174C2F" w14:textId="59C441F3" w:rsidR="00CB04F9" w:rsidRDefault="00CB04F9">
      <w:pPr>
        <w:pStyle w:val="BodyText"/>
        <w:spacing w:before="1"/>
        <w:rPr>
          <w:sz w:val="20"/>
        </w:rPr>
      </w:pPr>
    </w:p>
    <w:p w14:paraId="5D174C30" w14:textId="77777777" w:rsidR="00CB04F9" w:rsidRDefault="00CB04F9">
      <w:pPr>
        <w:pStyle w:val="BodyText"/>
      </w:pPr>
    </w:p>
    <w:p w14:paraId="5D174C31" w14:textId="77777777" w:rsidR="00CB04F9" w:rsidRDefault="00CB04F9">
      <w:pPr>
        <w:pStyle w:val="BodyText"/>
        <w:spacing w:before="3"/>
        <w:rPr>
          <w:sz w:val="22"/>
        </w:rPr>
      </w:pPr>
    </w:p>
    <w:p w14:paraId="5D174C32" w14:textId="77777777" w:rsidR="00CB04F9" w:rsidRDefault="00F83520">
      <w:pPr>
        <w:ind w:left="104" w:right="8212"/>
      </w:pPr>
      <w:r>
        <w:t>Dr</w:t>
      </w:r>
      <w:r>
        <w:rPr>
          <w:spacing w:val="1"/>
        </w:rPr>
        <w:t xml:space="preserve"> </w:t>
      </w:r>
      <w:r>
        <w:t>Peter</w:t>
      </w:r>
      <w:r>
        <w:rPr>
          <w:spacing w:val="1"/>
        </w:rPr>
        <w:t xml:space="preserve"> </w:t>
      </w:r>
      <w:r>
        <w:t>Melton</w:t>
      </w:r>
      <w:r>
        <w:rPr>
          <w:spacing w:val="1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Chief</w:t>
      </w:r>
      <w:r>
        <w:rPr>
          <w:spacing w:val="-3"/>
        </w:rPr>
        <w:t xml:space="preserve"> </w:t>
      </w:r>
      <w:r>
        <w:t>Officer</w:t>
      </w:r>
    </w:p>
    <w:p w14:paraId="5D174C33" w14:textId="77777777" w:rsidR="00CB04F9" w:rsidRDefault="00CB04F9">
      <w:pPr>
        <w:pStyle w:val="BodyText"/>
      </w:pPr>
    </w:p>
    <w:p w14:paraId="5D174C34" w14:textId="47E691C3" w:rsidR="00CB04F9" w:rsidRDefault="00CB04F9">
      <w:pPr>
        <w:pStyle w:val="BodyText"/>
      </w:pPr>
    </w:p>
    <w:p w14:paraId="4F5174A9" w14:textId="12FFA94B" w:rsidR="00924AEA" w:rsidRDefault="00924AEA">
      <w:pPr>
        <w:pStyle w:val="BodyText"/>
      </w:pPr>
      <w:r w:rsidRPr="00924AEA">
        <w:t xml:space="preserve">To read more about how the CCG tackles fraud </w:t>
      </w:r>
      <w:r>
        <w:t xml:space="preserve">click </w:t>
      </w:r>
      <w:hyperlink r:id="rId7" w:history="1">
        <w:r>
          <w:rPr>
            <w:rStyle w:val="Hyperlink"/>
          </w:rPr>
          <w:t>here</w:t>
        </w:r>
      </w:hyperlink>
    </w:p>
    <w:p w14:paraId="5D174C37" w14:textId="77777777" w:rsidR="00CB04F9" w:rsidRDefault="00CB04F9">
      <w:pPr>
        <w:pStyle w:val="BodyText"/>
      </w:pPr>
    </w:p>
    <w:p w14:paraId="5D174C38" w14:textId="77777777" w:rsidR="00CB04F9" w:rsidRDefault="00CB04F9">
      <w:pPr>
        <w:pStyle w:val="BodyText"/>
      </w:pPr>
    </w:p>
    <w:p w14:paraId="5D174C39" w14:textId="77777777" w:rsidR="00CB04F9" w:rsidRDefault="00CB04F9">
      <w:pPr>
        <w:pStyle w:val="BodyText"/>
      </w:pPr>
    </w:p>
    <w:p w14:paraId="5D174C3A" w14:textId="77777777" w:rsidR="00CB04F9" w:rsidRDefault="00CB04F9">
      <w:pPr>
        <w:pStyle w:val="BodyText"/>
      </w:pPr>
    </w:p>
    <w:p w14:paraId="5D174C3B" w14:textId="77777777" w:rsidR="00CB04F9" w:rsidRDefault="00CB04F9">
      <w:pPr>
        <w:pStyle w:val="BodyText"/>
      </w:pPr>
    </w:p>
    <w:p w14:paraId="5D174C3C" w14:textId="77777777" w:rsidR="00CB04F9" w:rsidRDefault="00CB04F9">
      <w:pPr>
        <w:pStyle w:val="BodyText"/>
      </w:pPr>
    </w:p>
    <w:p w14:paraId="5D174C3D" w14:textId="77777777" w:rsidR="00CB04F9" w:rsidRDefault="00CB04F9">
      <w:pPr>
        <w:pStyle w:val="BodyText"/>
      </w:pPr>
    </w:p>
    <w:p w14:paraId="5D174C3E" w14:textId="77777777" w:rsidR="00CB04F9" w:rsidRDefault="00CB04F9">
      <w:pPr>
        <w:pStyle w:val="BodyText"/>
      </w:pPr>
    </w:p>
    <w:p w14:paraId="5D174C3F" w14:textId="77777777" w:rsidR="00CB04F9" w:rsidRDefault="00CB04F9">
      <w:pPr>
        <w:pStyle w:val="BodyText"/>
      </w:pPr>
    </w:p>
    <w:p w14:paraId="5D174C40" w14:textId="77777777" w:rsidR="00CB04F9" w:rsidRDefault="00CB04F9">
      <w:pPr>
        <w:pStyle w:val="BodyText"/>
      </w:pPr>
    </w:p>
    <w:p w14:paraId="5D174C41" w14:textId="77777777" w:rsidR="00CB04F9" w:rsidRDefault="00CB04F9">
      <w:pPr>
        <w:pStyle w:val="BodyText"/>
      </w:pPr>
    </w:p>
    <w:p w14:paraId="5D174C42" w14:textId="77777777" w:rsidR="00CB04F9" w:rsidRDefault="00CB04F9">
      <w:pPr>
        <w:pStyle w:val="BodyText"/>
        <w:spacing w:before="10"/>
        <w:rPr>
          <w:sz w:val="35"/>
        </w:rPr>
      </w:pPr>
    </w:p>
    <w:p w14:paraId="5D174C43" w14:textId="77777777" w:rsidR="00CB04F9" w:rsidRDefault="00F83520">
      <w:pPr>
        <w:ind w:left="3003"/>
        <w:rPr>
          <w:i/>
        </w:rPr>
      </w:pPr>
      <w:r>
        <w:rPr>
          <w:noProof/>
          <w:lang w:eastAsia="en-GB"/>
        </w:rPr>
        <w:drawing>
          <wp:anchor distT="0" distB="0" distL="0" distR="0" simplePos="0" relativeHeight="15729152" behindDoc="0" locked="0" layoutInCell="1" allowOverlap="1" wp14:anchorId="5D174C48" wp14:editId="5D174C49">
            <wp:simplePos x="0" y="0"/>
            <wp:positionH relativeFrom="page">
              <wp:posOffset>5903965</wp:posOffset>
            </wp:positionH>
            <wp:positionV relativeFrom="paragraph">
              <wp:posOffset>-347639</wp:posOffset>
            </wp:positionV>
            <wp:extent cx="1121560" cy="1053938"/>
            <wp:effectExtent l="0" t="0" r="0" b="0"/>
            <wp:wrapNone/>
            <wp:docPr id="5" name="image3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560" cy="1053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Delivering</w:t>
      </w:r>
      <w:r>
        <w:rPr>
          <w:i/>
          <w:spacing w:val="-5"/>
        </w:rPr>
        <w:t xml:space="preserve"> </w:t>
      </w:r>
      <w:r>
        <w:rPr>
          <w:i/>
        </w:rPr>
        <w:t>joined</w:t>
      </w:r>
      <w:r>
        <w:rPr>
          <w:i/>
          <w:spacing w:val="-6"/>
        </w:rPr>
        <w:t xml:space="preserve"> </w:t>
      </w:r>
      <w:r>
        <w:rPr>
          <w:i/>
        </w:rPr>
        <w:t>up</w:t>
      </w:r>
      <w:r>
        <w:rPr>
          <w:i/>
          <w:spacing w:val="-4"/>
        </w:rPr>
        <w:t xml:space="preserve"> </w:t>
      </w:r>
      <w:r>
        <w:rPr>
          <w:i/>
        </w:rPr>
        <w:t>solutions</w:t>
      </w:r>
    </w:p>
    <w:sectPr w:rsidR="00CB04F9">
      <w:pgSz w:w="11900" w:h="16850"/>
      <w:pgMar w:top="660" w:right="7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F9"/>
    <w:rsid w:val="002B15A9"/>
    <w:rsid w:val="007A2B2D"/>
    <w:rsid w:val="00821423"/>
    <w:rsid w:val="00924AEA"/>
    <w:rsid w:val="00AE2A23"/>
    <w:rsid w:val="00BF4E2F"/>
    <w:rsid w:val="00CB04F9"/>
    <w:rsid w:val="00CF723D"/>
    <w:rsid w:val="00EA7D5F"/>
    <w:rsid w:val="00F8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74C08"/>
  <w15:docId w15:val="{751CD2FB-AA1E-4704-B058-079D4059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F4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E2F"/>
    <w:rPr>
      <w:rFonts w:ascii="Tahoma" w:eastAsia="Arial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E2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A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A23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A23"/>
    <w:rPr>
      <w:rFonts w:ascii="Arial" w:eastAsia="Arial" w:hAnsi="Arial" w:cs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24A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A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4A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northeastlincolnshireccg.nhs.uk/about-us/countering-fraud-in-the-nh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tice.gov.uk/downloads/legislation/bribery-act-2010-guidance.pdf" TargetMode="External"/><Relationship Id="rId5" Type="http://schemas.openxmlformats.org/officeDocument/2006/relationships/hyperlink" Target="http://www.justice.gov.uk/downloads/legislation/bribery-act-2010-guidance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&amp; Huddersfield Foundation Trust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Jablonski</dc:creator>
  <cp:lastModifiedBy>Jeanette Harris (CCG)</cp:lastModifiedBy>
  <cp:revision>5</cp:revision>
  <dcterms:created xsi:type="dcterms:W3CDTF">2021-09-08T12:34:00Z</dcterms:created>
  <dcterms:modified xsi:type="dcterms:W3CDTF">2021-09-08T12:38:00Z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2021-08-06T00:00:00Z</vt:filetime>
  </property>
</Properties>
</file>