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1668D" w14:textId="45ED02F1" w:rsidR="00136B75" w:rsidRPr="00E73B61" w:rsidRDefault="00136B75" w:rsidP="00A81EEF">
      <w:pPr>
        <w:ind w:left="7655" w:hanging="7655"/>
        <w:jc w:val="both"/>
        <w:rPr>
          <w:noProof/>
          <w:lang w:eastAsia="en-GB"/>
        </w:rPr>
      </w:pPr>
    </w:p>
    <w:p w14:paraId="2F73DCAF" w14:textId="77777777" w:rsidR="008E597F" w:rsidRPr="008E597F" w:rsidRDefault="008E597F" w:rsidP="008E597F">
      <w:pPr>
        <w:tabs>
          <w:tab w:val="left" w:pos="5954"/>
        </w:tabs>
        <w:jc w:val="both"/>
        <w:rPr>
          <w:rFonts w:ascii="Arial" w:hAnsi="Arial" w:cs="Arial"/>
          <w:b/>
          <w:bCs/>
          <w:szCs w:val="24"/>
          <w:lang w:eastAsia="en-GB"/>
        </w:rPr>
      </w:pPr>
      <w:r w:rsidRPr="008E597F">
        <w:rPr>
          <w:rFonts w:ascii="Arial" w:hAnsi="Arial" w:cs="Arial"/>
          <w:b/>
          <w:noProof/>
          <w:color w:val="FF0000"/>
          <w:szCs w:val="24"/>
          <w:lang w:eastAsia="en-GB"/>
        </w:rPr>
        <w:drawing>
          <wp:inline distT="0" distB="0" distL="0" distR="0" wp14:anchorId="3E31C8CD" wp14:editId="16F1397E">
            <wp:extent cx="1724025" cy="1562100"/>
            <wp:effectExtent l="0" t="0" r="9525" b="0"/>
            <wp:docPr id="3" name="Picture 3"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562100"/>
                    </a:xfrm>
                    <a:prstGeom prst="rect">
                      <a:avLst/>
                    </a:prstGeom>
                    <a:noFill/>
                  </pic:spPr>
                </pic:pic>
              </a:graphicData>
            </a:graphic>
          </wp:inline>
        </w:drawing>
      </w:r>
      <w:r w:rsidRPr="008E597F">
        <w:rPr>
          <w:rFonts w:ascii="Arial" w:hAnsi="Arial" w:cs="Arial"/>
          <w:b/>
          <w:noProof/>
          <w:color w:val="FF0000"/>
          <w:szCs w:val="24"/>
          <w:lang w:eastAsia="en-GB"/>
        </w:rPr>
        <w:t xml:space="preserve">                                             </w:t>
      </w:r>
      <w:r w:rsidRPr="008E597F">
        <w:rPr>
          <w:rFonts w:ascii="Arial" w:hAnsi="Arial" w:cs="Arial"/>
          <w:b/>
          <w:noProof/>
          <w:color w:val="FF0000"/>
          <w:szCs w:val="24"/>
          <w:lang w:eastAsia="en-GB"/>
        </w:rPr>
        <w:drawing>
          <wp:inline distT="0" distB="0" distL="0" distR="0" wp14:anchorId="3F374228" wp14:editId="45F1D8E4">
            <wp:extent cx="2005965" cy="883920"/>
            <wp:effectExtent l="0" t="0" r="0" b="0"/>
            <wp:docPr id="4" name="Picture 4" descr="North East Lincolnshire CCG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965" cy="883920"/>
                    </a:xfrm>
                    <a:prstGeom prst="rect">
                      <a:avLst/>
                    </a:prstGeom>
                    <a:noFill/>
                  </pic:spPr>
                </pic:pic>
              </a:graphicData>
            </a:graphic>
          </wp:inline>
        </w:drawing>
      </w:r>
      <w:r w:rsidRPr="008E597F">
        <w:rPr>
          <w:rFonts w:ascii="Arial" w:hAnsi="Arial" w:cs="Arial"/>
          <w:b/>
          <w:bCs/>
          <w:szCs w:val="24"/>
          <w:lang w:eastAsia="en-GB"/>
        </w:rPr>
        <w:t xml:space="preserve">   </w:t>
      </w:r>
    </w:p>
    <w:p w14:paraId="0AE5E544" w14:textId="77777777" w:rsidR="008E597F" w:rsidRPr="008E597F" w:rsidRDefault="008E597F" w:rsidP="008E597F">
      <w:pPr>
        <w:rPr>
          <w:rFonts w:ascii="Arial" w:hAnsi="Arial" w:cs="Arial"/>
          <w:b/>
          <w:bCs/>
          <w:szCs w:val="24"/>
          <w:lang w:eastAsia="en-GB"/>
        </w:rPr>
      </w:pPr>
    </w:p>
    <w:p w14:paraId="30992451" w14:textId="77777777" w:rsidR="008E597F" w:rsidRPr="008E597F" w:rsidRDefault="008E597F" w:rsidP="008E597F">
      <w:pPr>
        <w:rPr>
          <w:rFonts w:ascii="Arial" w:hAnsi="Arial" w:cs="Arial"/>
          <w:b/>
          <w:bCs/>
          <w:szCs w:val="24"/>
          <w:lang w:eastAsia="en-GB"/>
        </w:rPr>
      </w:pPr>
    </w:p>
    <w:p w14:paraId="7E12FD41" w14:textId="77777777" w:rsidR="008E597F" w:rsidRPr="008E597F" w:rsidRDefault="008E597F" w:rsidP="008E597F">
      <w:pPr>
        <w:rPr>
          <w:rFonts w:ascii="Arial" w:hAnsi="Arial" w:cs="Arial"/>
          <w:b/>
          <w:bCs/>
          <w:szCs w:val="24"/>
          <w:lang w:eastAsia="en-GB"/>
        </w:rPr>
      </w:pPr>
    </w:p>
    <w:p w14:paraId="398AB1E8" w14:textId="77777777" w:rsidR="008E597F" w:rsidRPr="008E597F" w:rsidRDefault="008E597F" w:rsidP="008E597F">
      <w:pPr>
        <w:rPr>
          <w:rFonts w:ascii="Arial" w:hAnsi="Arial" w:cs="Arial"/>
          <w:b/>
          <w:bCs/>
          <w:szCs w:val="24"/>
          <w:lang w:eastAsia="en-GB"/>
        </w:rPr>
      </w:pPr>
      <w:r w:rsidRPr="008E597F">
        <w:rPr>
          <w:rFonts w:ascii="Arial" w:hAnsi="Arial" w:cs="Arial"/>
          <w:b/>
          <w:bCs/>
          <w:szCs w:val="24"/>
          <w:lang w:eastAsia="en-GB"/>
        </w:rPr>
        <w:t>TERMS OF REFERENCE FOR THE COMMITTEES IN COMMON ("</w:t>
      </w:r>
      <w:r w:rsidRPr="008E597F">
        <w:rPr>
          <w:rFonts w:ascii="Arial" w:hAnsi="Arial" w:cs="Arial"/>
          <w:b/>
          <w:bCs/>
          <w:i/>
          <w:szCs w:val="24"/>
          <w:lang w:eastAsia="en-GB"/>
        </w:rPr>
        <w:t>THE UNION BOARD"</w:t>
      </w:r>
      <w:r w:rsidRPr="008E597F">
        <w:rPr>
          <w:rFonts w:ascii="Arial" w:hAnsi="Arial" w:cs="Arial"/>
          <w:b/>
          <w:bCs/>
          <w:szCs w:val="24"/>
          <w:lang w:eastAsia="en-GB"/>
        </w:rPr>
        <w:t xml:space="preserve">) GOVERNING: </w:t>
      </w:r>
    </w:p>
    <w:p w14:paraId="18D7DE89" w14:textId="77777777" w:rsidR="008E597F" w:rsidRPr="008E597F" w:rsidRDefault="008E597F" w:rsidP="00495852">
      <w:pPr>
        <w:widowControl w:val="0"/>
        <w:numPr>
          <w:ilvl w:val="0"/>
          <w:numId w:val="5"/>
        </w:numPr>
        <w:contextualSpacing/>
        <w:jc w:val="both"/>
        <w:rPr>
          <w:rFonts w:ascii="Arial" w:hAnsi="Arial" w:cs="Arial"/>
          <w:b/>
          <w:bCs/>
          <w:szCs w:val="24"/>
          <w:lang w:eastAsia="en-GB"/>
        </w:rPr>
      </w:pPr>
      <w:r w:rsidRPr="008E597F">
        <w:rPr>
          <w:rFonts w:ascii="Arial" w:hAnsi="Arial" w:cs="Arial"/>
          <w:b/>
          <w:bCs/>
          <w:szCs w:val="24"/>
          <w:lang w:eastAsia="en-GB"/>
        </w:rPr>
        <w:t>INTEGRATED COMMISSIONING PURSUANT TO THE SECTION 75 AGREEMENT MADE BETWEEN NORTH EAST LINCOLNSHIRE CLINICAL COMMISSIONING GROUP ("THE CCG") AND NORTH EAST LINCOLNSHIRE COUNCIL ("THE COUNCIL”) (TOGETHER "THE PARTNERS"); AND</w:t>
      </w:r>
    </w:p>
    <w:p w14:paraId="2C80EBA9" w14:textId="77777777" w:rsidR="008E597F" w:rsidRPr="00951E73" w:rsidRDefault="008E597F" w:rsidP="00495852">
      <w:pPr>
        <w:widowControl w:val="0"/>
        <w:numPr>
          <w:ilvl w:val="0"/>
          <w:numId w:val="5"/>
        </w:numPr>
        <w:contextualSpacing/>
        <w:jc w:val="both"/>
        <w:rPr>
          <w:rFonts w:ascii="Arial" w:hAnsi="Arial" w:cs="Arial"/>
          <w:b/>
          <w:bCs/>
          <w:szCs w:val="24"/>
          <w:lang w:eastAsia="en-GB"/>
        </w:rPr>
      </w:pPr>
      <w:r w:rsidRPr="00951E73">
        <w:rPr>
          <w:rFonts w:ascii="Arial" w:hAnsi="Arial" w:cs="Arial"/>
          <w:b/>
          <w:bCs/>
          <w:szCs w:val="24"/>
          <w:lang w:eastAsia="en-GB"/>
        </w:rPr>
        <w:t>JOINT WORKING LEADING TO DEEPER INTEGRATION AROUND WIDER HEALTH AND WELLBEING ISSUES ON A PLACE BASIS.</w:t>
      </w:r>
    </w:p>
    <w:p w14:paraId="68DD8D95" w14:textId="77777777" w:rsidR="008E597F" w:rsidRPr="008E597F" w:rsidRDefault="008E597F" w:rsidP="008E597F">
      <w:pPr>
        <w:autoSpaceDE w:val="0"/>
        <w:autoSpaceDN w:val="0"/>
        <w:adjustRightInd w:val="0"/>
        <w:jc w:val="both"/>
        <w:rPr>
          <w:rFonts w:ascii="Arial" w:hAnsi="Arial" w:cs="Arial"/>
          <w:bCs/>
          <w:i/>
          <w:iCs/>
          <w:szCs w:val="24"/>
          <w:lang w:eastAsia="en-GB"/>
        </w:rPr>
      </w:pPr>
    </w:p>
    <w:p w14:paraId="168D6925" w14:textId="77777777" w:rsidR="008E597F" w:rsidRPr="008E597F" w:rsidRDefault="008E597F" w:rsidP="008E597F">
      <w:pPr>
        <w:autoSpaceDE w:val="0"/>
        <w:autoSpaceDN w:val="0"/>
        <w:adjustRightInd w:val="0"/>
        <w:jc w:val="both"/>
        <w:rPr>
          <w:rFonts w:ascii="Arial" w:hAnsi="Arial" w:cs="Arial"/>
          <w:bCs/>
          <w:iCs/>
          <w:szCs w:val="24"/>
          <w:lang w:eastAsia="en-GB"/>
        </w:rPr>
      </w:pPr>
      <w:r w:rsidRPr="008E597F">
        <w:rPr>
          <w:rFonts w:ascii="Arial" w:hAnsi="Arial" w:cs="Arial"/>
          <w:bCs/>
          <w:iCs/>
          <w:szCs w:val="24"/>
          <w:lang w:eastAsia="en-GB"/>
        </w:rPr>
        <w:t xml:space="preserve">This document describes the role and working of the Union Board. </w:t>
      </w:r>
    </w:p>
    <w:p w14:paraId="4A076604" w14:textId="77777777" w:rsidR="008E597F" w:rsidRPr="008E597F" w:rsidRDefault="008E597F" w:rsidP="008E597F">
      <w:pPr>
        <w:autoSpaceDE w:val="0"/>
        <w:autoSpaceDN w:val="0"/>
        <w:adjustRightInd w:val="0"/>
        <w:jc w:val="both"/>
        <w:rPr>
          <w:rFonts w:ascii="Arial" w:hAnsi="Arial" w:cs="Arial"/>
          <w:bCs/>
          <w:iCs/>
          <w:szCs w:val="24"/>
          <w:lang w:eastAsia="en-GB"/>
        </w:rPr>
      </w:pPr>
      <w:r w:rsidRPr="008E597F">
        <w:rPr>
          <w:rFonts w:ascii="Arial" w:hAnsi="Arial" w:cs="Arial"/>
          <w:bCs/>
          <w:iCs/>
          <w:szCs w:val="24"/>
          <w:lang w:eastAsia="en-GB"/>
        </w:rPr>
        <w:t xml:space="preserve"> </w:t>
      </w:r>
    </w:p>
    <w:p w14:paraId="18E17C6D" w14:textId="77777777" w:rsidR="008E597F" w:rsidRPr="008E597F" w:rsidRDefault="008E597F" w:rsidP="00495852">
      <w:pPr>
        <w:numPr>
          <w:ilvl w:val="0"/>
          <w:numId w:val="2"/>
        </w:numPr>
        <w:autoSpaceDE w:val="0"/>
        <w:autoSpaceDN w:val="0"/>
        <w:adjustRightInd w:val="0"/>
        <w:contextualSpacing/>
        <w:jc w:val="both"/>
        <w:rPr>
          <w:rFonts w:ascii="Arial" w:hAnsi="Arial" w:cs="Arial"/>
          <w:bCs/>
          <w:iCs/>
          <w:szCs w:val="24"/>
          <w:lang w:eastAsia="en-GB"/>
        </w:rPr>
      </w:pPr>
      <w:r w:rsidRPr="008E597F">
        <w:rPr>
          <w:rFonts w:ascii="Arial" w:hAnsi="Arial" w:cs="Arial"/>
          <w:bCs/>
          <w:iCs/>
          <w:szCs w:val="24"/>
          <w:lang w:eastAsia="en-GB"/>
        </w:rPr>
        <w:t xml:space="preserve">The Partners have developed integrated commissioning arrangements for section 75 services (“the s75 Services”) as defined in the s75 Agreement. </w:t>
      </w:r>
    </w:p>
    <w:p w14:paraId="1D6F1454" w14:textId="77777777" w:rsidR="008E597F" w:rsidRPr="008E597F" w:rsidRDefault="008E597F" w:rsidP="008E597F">
      <w:pPr>
        <w:autoSpaceDE w:val="0"/>
        <w:autoSpaceDN w:val="0"/>
        <w:adjustRightInd w:val="0"/>
        <w:ind w:left="720"/>
        <w:contextualSpacing/>
        <w:jc w:val="both"/>
        <w:rPr>
          <w:rFonts w:ascii="Arial" w:hAnsi="Arial" w:cs="Arial"/>
          <w:bCs/>
          <w:iCs/>
          <w:szCs w:val="24"/>
          <w:lang w:eastAsia="en-GB"/>
        </w:rPr>
      </w:pPr>
    </w:p>
    <w:p w14:paraId="496B8CDE" w14:textId="77777777" w:rsidR="008E597F" w:rsidRPr="008E597F" w:rsidRDefault="008E597F" w:rsidP="00495852">
      <w:pPr>
        <w:numPr>
          <w:ilvl w:val="0"/>
          <w:numId w:val="2"/>
        </w:numPr>
        <w:autoSpaceDE w:val="0"/>
        <w:autoSpaceDN w:val="0"/>
        <w:adjustRightInd w:val="0"/>
        <w:contextualSpacing/>
        <w:jc w:val="both"/>
        <w:rPr>
          <w:rFonts w:ascii="Arial" w:hAnsi="Arial" w:cs="Arial"/>
          <w:bCs/>
          <w:szCs w:val="24"/>
          <w:lang w:eastAsia="en-GB"/>
        </w:rPr>
      </w:pPr>
      <w:r w:rsidRPr="008E597F">
        <w:rPr>
          <w:rFonts w:ascii="Arial" w:hAnsi="Arial" w:cs="Arial"/>
          <w:bCs/>
          <w:iCs/>
          <w:szCs w:val="24"/>
          <w:lang w:eastAsia="en-GB"/>
        </w:rPr>
        <w:t xml:space="preserve">The Partners establish committees in common made up of a committee of each of the Partners (so far as the CCG is concerned a </w:t>
      </w:r>
      <w:r w:rsidRPr="008E597F">
        <w:rPr>
          <w:rFonts w:ascii="Arial" w:hAnsi="Arial" w:cs="Arial"/>
          <w:bCs/>
          <w:iCs/>
          <w:strike/>
          <w:szCs w:val="24"/>
          <w:lang w:eastAsia="en-GB"/>
        </w:rPr>
        <w:t>-</w:t>
      </w:r>
      <w:r w:rsidRPr="008E597F">
        <w:rPr>
          <w:rFonts w:ascii="Arial" w:hAnsi="Arial" w:cs="Arial"/>
          <w:bCs/>
          <w:iCs/>
          <w:szCs w:val="24"/>
          <w:lang w:eastAsia="en-GB"/>
        </w:rPr>
        <w:t xml:space="preserve">committee of its Governing Body and the Council a committee of Cabinet) to govern the strategic overview and development of the s75 Services pursuant to the s75 Agreement, s75 of the National Health Service Act 2006 and other enabling legislation. </w:t>
      </w:r>
      <w:r w:rsidRPr="008E597F">
        <w:rPr>
          <w:rFonts w:ascii="Arial" w:hAnsi="Arial" w:cs="Arial"/>
          <w:bCs/>
          <w:szCs w:val="24"/>
          <w:lang w:eastAsia="en-GB"/>
        </w:rPr>
        <w:t xml:space="preserve">The Partners remain sovereign organisations which shall comply with the legal and regulatory obligations that apply to them. </w:t>
      </w:r>
    </w:p>
    <w:p w14:paraId="3E07FCE3" w14:textId="77777777" w:rsidR="008E597F" w:rsidRPr="008E597F" w:rsidRDefault="008E597F" w:rsidP="008E597F">
      <w:pPr>
        <w:autoSpaceDE w:val="0"/>
        <w:autoSpaceDN w:val="0"/>
        <w:adjustRightInd w:val="0"/>
        <w:ind w:left="720"/>
        <w:contextualSpacing/>
        <w:jc w:val="both"/>
        <w:rPr>
          <w:rFonts w:ascii="Arial" w:hAnsi="Arial" w:cs="Arial"/>
          <w:bCs/>
          <w:iCs/>
          <w:szCs w:val="24"/>
          <w:lang w:eastAsia="en-GB"/>
        </w:rPr>
      </w:pPr>
    </w:p>
    <w:p w14:paraId="537D5AF1" w14:textId="77777777" w:rsidR="008E597F" w:rsidRPr="00951E73" w:rsidRDefault="008E597F" w:rsidP="00495852">
      <w:pPr>
        <w:numPr>
          <w:ilvl w:val="0"/>
          <w:numId w:val="2"/>
        </w:numPr>
        <w:autoSpaceDE w:val="0"/>
        <w:autoSpaceDN w:val="0"/>
        <w:adjustRightInd w:val="0"/>
        <w:contextualSpacing/>
        <w:jc w:val="both"/>
        <w:rPr>
          <w:rFonts w:ascii="Arial" w:hAnsi="Arial" w:cs="Arial"/>
          <w:bCs/>
          <w:iCs/>
          <w:szCs w:val="24"/>
          <w:lang w:eastAsia="en-GB"/>
        </w:rPr>
      </w:pPr>
      <w:r w:rsidRPr="008E597F">
        <w:rPr>
          <w:rFonts w:ascii="Arial" w:hAnsi="Arial" w:cs="Arial"/>
          <w:bCs/>
          <w:iCs/>
          <w:szCs w:val="24"/>
          <w:lang w:eastAsia="en-GB"/>
        </w:rPr>
        <w:t>T</w:t>
      </w:r>
      <w:r w:rsidRPr="008E597F">
        <w:rPr>
          <w:rFonts w:ascii="Arial" w:hAnsi="Arial" w:cs="Arial"/>
          <w:bCs/>
          <w:szCs w:val="24"/>
          <w:lang w:eastAsia="en-GB"/>
        </w:rPr>
        <w:t xml:space="preserve">he Partners have put in place aligned delegations to enable the empowerment of the Union Board representatives to deliver on their behalf the following functions.  The delegations will be reviewed and amended from time to time to include additional or amended functions as are necessary to comply with the s75 Agreement and in particular variations to the Commissioning Plans </w:t>
      </w:r>
      <w:r w:rsidRPr="00951E73">
        <w:rPr>
          <w:rFonts w:ascii="Arial" w:hAnsi="Arial" w:cs="Arial"/>
          <w:bCs/>
          <w:szCs w:val="24"/>
          <w:lang w:eastAsia="en-GB"/>
        </w:rPr>
        <w:t>and to further the desire for fuller integration:</w:t>
      </w:r>
    </w:p>
    <w:p w14:paraId="0B16BE86" w14:textId="77777777" w:rsidR="008E597F" w:rsidRPr="008E597F" w:rsidRDefault="008E597F" w:rsidP="008E597F">
      <w:pPr>
        <w:autoSpaceDE w:val="0"/>
        <w:autoSpaceDN w:val="0"/>
        <w:adjustRightInd w:val="0"/>
        <w:jc w:val="both"/>
        <w:rPr>
          <w:rFonts w:ascii="Arial" w:hAnsi="Arial" w:cs="Arial"/>
          <w:bCs/>
          <w:iCs/>
          <w:szCs w:val="24"/>
          <w:lang w:eastAsia="en-GB"/>
        </w:rPr>
      </w:pPr>
    </w:p>
    <w:p w14:paraId="0297CE89" w14:textId="77777777"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w:t>
      </w:r>
      <w:proofErr w:type="spellStart"/>
      <w:r w:rsidRPr="008E597F">
        <w:rPr>
          <w:rFonts w:ascii="Arial" w:hAnsi="Arial" w:cs="Arial"/>
          <w:bCs/>
          <w:szCs w:val="24"/>
          <w:lang w:eastAsia="en-GB"/>
        </w:rPr>
        <w:t>i</w:t>
      </w:r>
      <w:proofErr w:type="spellEnd"/>
      <w:r w:rsidRPr="008E597F">
        <w:rPr>
          <w:rFonts w:ascii="Arial" w:hAnsi="Arial" w:cs="Arial"/>
          <w:bCs/>
          <w:szCs w:val="24"/>
          <w:lang w:eastAsia="en-GB"/>
        </w:rPr>
        <w:t>) Oversee, and provide strategic direction / leadership for the delivery of the s75 arrangements and the development, implementation and on-going operation of the s75 Services;</w:t>
      </w:r>
    </w:p>
    <w:p w14:paraId="14DB058F" w14:textId="77777777"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(ii) Monitor and review the effectiveness of the arrangements and make recommendations to the Partners (e.g. in the event of any changes to legislation, developments in best practice or requirements imposed by or on the Partners);</w:t>
      </w:r>
    </w:p>
    <w:p w14:paraId="317103BD" w14:textId="77777777"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 xml:space="preserve">(iii) On an annual basis, undertake a review of delivery against three year rolling Business Plan and Critical Success Factors and provide the necessary approvals;   </w:t>
      </w:r>
    </w:p>
    <w:p w14:paraId="57A92A66" w14:textId="77777777"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(iv) Make recommendations to each of the Partners regarding budget and resources and no later than early December in each year submit these to the Partners for approval as part of the Business Plan and each Partner’s budget setting process;</w:t>
      </w:r>
    </w:p>
    <w:p w14:paraId="0FCC6280" w14:textId="77777777"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 xml:space="preserve">(v) Agree the Financial Contributions to be included within the Commissioning Plans for each of the relevant financial years; </w:t>
      </w:r>
    </w:p>
    <w:p w14:paraId="2EEB7B01" w14:textId="77777777"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(vi) Consider and agree redeployment, retention or apportionment of any projected or unplanned underspend in respect of a Pooled Fund;</w:t>
      </w:r>
    </w:p>
    <w:p w14:paraId="1ADA992D" w14:textId="77777777"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 xml:space="preserve">(vii) Receive the Quarterly Reports from the Pooled Fund Manager(s); </w:t>
      </w:r>
    </w:p>
    <w:p w14:paraId="4F331595" w14:textId="3A1F7E99"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lastRenderedPageBreak/>
        <w:t>(viii) Receive an annual report from the Partners by no later than 30</w:t>
      </w:r>
      <w:r w:rsidRPr="008E597F">
        <w:rPr>
          <w:rFonts w:ascii="Arial" w:hAnsi="Arial" w:cs="Arial"/>
          <w:bCs/>
          <w:szCs w:val="24"/>
          <w:vertAlign w:val="superscript"/>
          <w:lang w:eastAsia="en-GB"/>
        </w:rPr>
        <w:t>th</w:t>
      </w:r>
      <w:r w:rsidRPr="008E597F">
        <w:rPr>
          <w:rFonts w:ascii="Arial" w:hAnsi="Arial" w:cs="Arial"/>
          <w:bCs/>
          <w:szCs w:val="24"/>
          <w:lang w:eastAsia="en-GB"/>
        </w:rPr>
        <w:t xml:space="preserve"> June in each year covering the progress and achievement of the Union’s strategic objectives in the </w:t>
      </w:r>
      <w:r w:rsidR="00D115E7" w:rsidRPr="008E597F">
        <w:rPr>
          <w:rFonts w:ascii="Arial" w:hAnsi="Arial" w:cs="Arial"/>
          <w:bCs/>
          <w:szCs w:val="24"/>
          <w:lang w:eastAsia="en-GB"/>
        </w:rPr>
        <w:t>12-month</w:t>
      </w:r>
      <w:r w:rsidRPr="008E597F">
        <w:rPr>
          <w:rFonts w:ascii="Arial" w:hAnsi="Arial" w:cs="Arial"/>
          <w:bCs/>
          <w:szCs w:val="24"/>
          <w:lang w:eastAsia="en-GB"/>
        </w:rPr>
        <w:t xml:space="preserve"> period ending on the preceding 31st March;</w:t>
      </w:r>
    </w:p>
    <w:p w14:paraId="75CFE4D8" w14:textId="77777777"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(ix) Co-operate with and participate in Overview and Scrutiny exercises of the Partners into the activities of the Services and ensure that engagement and consultation obligations of the Partners are undertaken;</w:t>
      </w:r>
    </w:p>
    <w:p w14:paraId="438B2C01" w14:textId="77777777"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 xml:space="preserve">(x) Review and ensure the operation and effectiveness of the Union arrangements and Agreement at least every two years and consider ways in which the arrangements can be developed and make recommendations to the Partners as appropriate;  </w:t>
      </w:r>
    </w:p>
    <w:p w14:paraId="4D23EDD1" w14:textId="77777777"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(xi) from time to time identify, develop and approve appropriate methodology to support further integration of the Partners so as to achieve the objectives of efficiency and value for money across the Partners;</w:t>
      </w:r>
    </w:p>
    <w:p w14:paraId="76674164" w14:textId="7A2DD9AA"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 xml:space="preserve">(xii) Unless provided for in these Terms of Reference, all other decisions arising from, or in connection with, the s75 Services shall be taken by each Partner in accordance with their existing </w:t>
      </w:r>
      <w:r w:rsidR="00D115E7" w:rsidRPr="008E597F">
        <w:rPr>
          <w:rFonts w:ascii="Arial" w:hAnsi="Arial" w:cs="Arial"/>
          <w:bCs/>
          <w:szCs w:val="24"/>
          <w:lang w:eastAsia="en-GB"/>
        </w:rPr>
        <w:t>decision-making</w:t>
      </w:r>
      <w:r w:rsidRPr="008E597F">
        <w:rPr>
          <w:rFonts w:ascii="Arial" w:hAnsi="Arial" w:cs="Arial"/>
          <w:bCs/>
          <w:szCs w:val="24"/>
          <w:lang w:eastAsia="en-GB"/>
        </w:rPr>
        <w:t xml:space="preserve"> processes;</w:t>
      </w:r>
    </w:p>
    <w:p w14:paraId="72448AB1" w14:textId="77777777"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 xml:space="preserve">(xiii) Receive notifications as regards "high" residual risks in relation to the delivery of the Commissioning Plans; </w:t>
      </w:r>
    </w:p>
    <w:p w14:paraId="4A89A1C2" w14:textId="4C0451BB"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(xiv) Receive notifications and assurances of actions taken to appropriately address complaints in relation to the operation of the s75 arrangements;</w:t>
      </w:r>
    </w:p>
    <w:p w14:paraId="1D0F7A40" w14:textId="77777777" w:rsidR="008E597F" w:rsidRPr="008E597F" w:rsidRDefault="008E597F" w:rsidP="008E597F">
      <w:pPr>
        <w:autoSpaceDE w:val="0"/>
        <w:autoSpaceDN w:val="0"/>
        <w:adjustRightInd w:val="0"/>
        <w:ind w:left="1440"/>
        <w:jc w:val="both"/>
        <w:rPr>
          <w:rFonts w:ascii="Arial" w:hAnsi="Arial" w:cs="Arial"/>
          <w:bCs/>
          <w:szCs w:val="24"/>
          <w:lang w:eastAsia="en-GB"/>
        </w:rPr>
      </w:pPr>
      <w:r w:rsidRPr="008E597F">
        <w:rPr>
          <w:rFonts w:ascii="Arial" w:hAnsi="Arial" w:cs="Arial"/>
          <w:bCs/>
          <w:szCs w:val="24"/>
          <w:lang w:eastAsia="en-GB"/>
        </w:rPr>
        <w:t xml:space="preserve">(xv)  </w:t>
      </w:r>
      <w:r w:rsidRPr="00951E73">
        <w:rPr>
          <w:rFonts w:ascii="Arial" w:hAnsi="Arial" w:cs="Arial"/>
          <w:bCs/>
          <w:szCs w:val="24"/>
          <w:lang w:eastAsia="en-GB"/>
        </w:rPr>
        <w:t>To enable Partners to work jointly together, leading to a deeper and embedded integration, across all health and wellbeing issues on a Place basis so that the Union is as seamless as possible.  This is with a view to enable Partners to jointly lead on all health and wellbeing related issues across North East Lincolnshire and beyond where appropriate.</w:t>
      </w:r>
      <w:r w:rsidRPr="008E597F">
        <w:rPr>
          <w:rFonts w:ascii="Arial" w:hAnsi="Arial" w:cs="Arial"/>
          <w:bCs/>
          <w:szCs w:val="24"/>
          <w:lang w:eastAsia="en-GB"/>
        </w:rPr>
        <w:t xml:space="preserve"> </w:t>
      </w:r>
    </w:p>
    <w:p w14:paraId="75D1BCDE" w14:textId="77777777" w:rsidR="008E597F" w:rsidRPr="008E597F" w:rsidRDefault="008E597F" w:rsidP="008E597F">
      <w:pPr>
        <w:autoSpaceDE w:val="0"/>
        <w:autoSpaceDN w:val="0"/>
        <w:adjustRightInd w:val="0"/>
        <w:jc w:val="both"/>
        <w:rPr>
          <w:rFonts w:ascii="Arial" w:hAnsi="Arial" w:cs="Arial"/>
          <w:bCs/>
          <w:szCs w:val="24"/>
          <w:lang w:eastAsia="en-GB"/>
        </w:rPr>
      </w:pPr>
    </w:p>
    <w:p w14:paraId="0A4785C4" w14:textId="77777777" w:rsidR="008E597F" w:rsidRPr="008E597F" w:rsidRDefault="008E597F" w:rsidP="00495852">
      <w:pPr>
        <w:numPr>
          <w:ilvl w:val="0"/>
          <w:numId w:val="2"/>
        </w:numPr>
        <w:autoSpaceDE w:val="0"/>
        <w:autoSpaceDN w:val="0"/>
        <w:adjustRightInd w:val="0"/>
        <w:contextualSpacing/>
        <w:jc w:val="both"/>
        <w:rPr>
          <w:rFonts w:ascii="Arial" w:hAnsi="Arial" w:cs="Arial"/>
          <w:bCs/>
          <w:szCs w:val="24"/>
          <w:lang w:eastAsia="en-GB"/>
        </w:rPr>
      </w:pPr>
      <w:r w:rsidRPr="008E597F">
        <w:rPr>
          <w:rFonts w:ascii="Arial" w:hAnsi="Arial" w:cs="Arial"/>
          <w:bCs/>
          <w:szCs w:val="24"/>
          <w:lang w:eastAsia="en-GB"/>
        </w:rPr>
        <w:t>Each Partner will include these Terms of Reference in its Constitution and hereby delegates each of its Members to take all decisions arising from them.</w:t>
      </w:r>
    </w:p>
    <w:p w14:paraId="74E36014" w14:textId="77777777" w:rsidR="008E597F" w:rsidRPr="008E597F" w:rsidRDefault="008E597F" w:rsidP="008E597F">
      <w:pPr>
        <w:autoSpaceDE w:val="0"/>
        <w:autoSpaceDN w:val="0"/>
        <w:adjustRightInd w:val="0"/>
        <w:ind w:left="720"/>
        <w:contextualSpacing/>
        <w:jc w:val="both"/>
        <w:rPr>
          <w:rFonts w:ascii="Arial" w:hAnsi="Arial" w:cs="Arial"/>
          <w:bCs/>
          <w:szCs w:val="24"/>
          <w:lang w:eastAsia="en-GB"/>
        </w:rPr>
      </w:pPr>
    </w:p>
    <w:p w14:paraId="51E9E217" w14:textId="77777777" w:rsidR="008E597F" w:rsidRPr="008E597F" w:rsidRDefault="008E597F" w:rsidP="00495852">
      <w:pPr>
        <w:numPr>
          <w:ilvl w:val="0"/>
          <w:numId w:val="2"/>
        </w:numPr>
        <w:autoSpaceDE w:val="0"/>
        <w:autoSpaceDN w:val="0"/>
        <w:adjustRightInd w:val="0"/>
        <w:contextualSpacing/>
        <w:jc w:val="both"/>
        <w:rPr>
          <w:rFonts w:ascii="Arial" w:hAnsi="Arial" w:cs="Arial"/>
          <w:b/>
          <w:bCs/>
          <w:szCs w:val="24"/>
          <w:lang w:eastAsia="en-GB"/>
        </w:rPr>
      </w:pPr>
      <w:r w:rsidRPr="008E597F">
        <w:rPr>
          <w:rFonts w:ascii="Arial" w:hAnsi="Arial" w:cs="Arial"/>
          <w:bCs/>
          <w:szCs w:val="24"/>
          <w:lang w:eastAsia="en-GB"/>
        </w:rPr>
        <w:t>The Partners shall report into other governance groups of the CCG and the Council as appropriate.</w:t>
      </w:r>
    </w:p>
    <w:p w14:paraId="14936BE4" w14:textId="77777777" w:rsidR="008E597F" w:rsidRPr="008E597F" w:rsidRDefault="008E597F" w:rsidP="008E597F">
      <w:pPr>
        <w:widowControl w:val="0"/>
        <w:ind w:left="720"/>
        <w:contextualSpacing/>
        <w:jc w:val="both"/>
        <w:rPr>
          <w:rFonts w:ascii="Arial" w:hAnsi="Arial" w:cs="Arial"/>
          <w:b/>
          <w:bCs/>
          <w:szCs w:val="24"/>
          <w:lang w:eastAsia="en-GB"/>
        </w:rPr>
      </w:pPr>
    </w:p>
    <w:p w14:paraId="769ED401" w14:textId="77777777" w:rsidR="008E597F" w:rsidRPr="008E597F" w:rsidRDefault="008E597F" w:rsidP="008E597F">
      <w:pPr>
        <w:autoSpaceDE w:val="0"/>
        <w:autoSpaceDN w:val="0"/>
        <w:adjustRightInd w:val="0"/>
        <w:jc w:val="both"/>
        <w:rPr>
          <w:rFonts w:ascii="Arial" w:hAnsi="Arial" w:cs="Arial"/>
          <w:b/>
          <w:bCs/>
          <w:szCs w:val="24"/>
          <w:lang w:eastAsia="en-GB"/>
        </w:rPr>
      </w:pPr>
      <w:r w:rsidRPr="008E597F">
        <w:rPr>
          <w:rFonts w:ascii="Arial" w:hAnsi="Arial" w:cs="Arial"/>
          <w:b/>
          <w:bCs/>
          <w:szCs w:val="24"/>
          <w:lang w:eastAsia="en-GB"/>
        </w:rPr>
        <w:t>RULES FOR CONDUCT OF MEETINGS AND PROCEEDINGS OF THE UNION BOARD</w:t>
      </w:r>
    </w:p>
    <w:p w14:paraId="463823D2" w14:textId="77777777" w:rsidR="008E597F" w:rsidRPr="008E597F" w:rsidRDefault="008E597F" w:rsidP="008E597F">
      <w:pPr>
        <w:autoSpaceDE w:val="0"/>
        <w:autoSpaceDN w:val="0"/>
        <w:adjustRightInd w:val="0"/>
        <w:jc w:val="both"/>
        <w:rPr>
          <w:rFonts w:ascii="Arial" w:hAnsi="Arial" w:cs="Arial"/>
          <w:b/>
          <w:bCs/>
          <w:szCs w:val="24"/>
          <w:lang w:eastAsia="en-GB"/>
        </w:rPr>
      </w:pPr>
    </w:p>
    <w:p w14:paraId="41CBAB6F"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
          <w:bCs/>
          <w:szCs w:val="24"/>
          <w:lang w:eastAsia="en-GB"/>
        </w:rPr>
        <w:t>Preamble:</w:t>
      </w:r>
      <w:r w:rsidRPr="008E597F">
        <w:rPr>
          <w:rFonts w:ascii="Arial" w:hAnsi="Arial" w:cs="Arial"/>
          <w:bCs/>
          <w:szCs w:val="24"/>
          <w:lang w:eastAsia="en-GB"/>
        </w:rPr>
        <w:t xml:space="preserve"> </w:t>
      </w:r>
    </w:p>
    <w:p w14:paraId="3D7C9013"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The Union Board shall follow all legislative and regulatory obligations imposed upon its composite members by virtue of:</w:t>
      </w:r>
    </w:p>
    <w:p w14:paraId="6EAFFF11" w14:textId="77777777" w:rsidR="008E597F" w:rsidRPr="008E597F" w:rsidRDefault="008E597F" w:rsidP="00495852">
      <w:pPr>
        <w:numPr>
          <w:ilvl w:val="0"/>
          <w:numId w:val="3"/>
        </w:numPr>
        <w:autoSpaceDE w:val="0"/>
        <w:autoSpaceDN w:val="0"/>
        <w:adjustRightInd w:val="0"/>
        <w:ind w:left="851"/>
        <w:contextualSpacing/>
        <w:jc w:val="both"/>
        <w:rPr>
          <w:rFonts w:ascii="Arial" w:hAnsi="Arial" w:cs="Arial"/>
          <w:bCs/>
          <w:szCs w:val="24"/>
          <w:lang w:eastAsia="en-GB"/>
        </w:rPr>
      </w:pPr>
      <w:r w:rsidRPr="008E597F">
        <w:rPr>
          <w:rFonts w:ascii="Arial" w:hAnsi="Arial" w:cs="Arial"/>
          <w:bCs/>
          <w:szCs w:val="24"/>
          <w:lang w:eastAsia="en-GB"/>
        </w:rPr>
        <w:t xml:space="preserve">For North East Lincolnshire Clinical Commissioning Group: </w:t>
      </w:r>
      <w:proofErr w:type="gramStart"/>
      <w:r w:rsidRPr="008E597F">
        <w:rPr>
          <w:rFonts w:ascii="Arial" w:hAnsi="Arial" w:cs="Arial"/>
          <w:bCs/>
          <w:szCs w:val="24"/>
          <w:lang w:eastAsia="en-GB"/>
        </w:rPr>
        <w:t>the</w:t>
      </w:r>
      <w:proofErr w:type="gramEnd"/>
      <w:r w:rsidRPr="008E597F">
        <w:rPr>
          <w:rFonts w:ascii="Arial" w:hAnsi="Arial" w:cs="Arial"/>
          <w:bCs/>
          <w:szCs w:val="24"/>
          <w:lang w:eastAsia="en-GB"/>
        </w:rPr>
        <w:t xml:space="preserve"> National Health Service Act 2006;</w:t>
      </w:r>
    </w:p>
    <w:p w14:paraId="70D92B08" w14:textId="77777777" w:rsidR="008E597F" w:rsidRPr="008E597F" w:rsidRDefault="008E597F" w:rsidP="00495852">
      <w:pPr>
        <w:numPr>
          <w:ilvl w:val="0"/>
          <w:numId w:val="3"/>
        </w:numPr>
        <w:autoSpaceDE w:val="0"/>
        <w:autoSpaceDN w:val="0"/>
        <w:adjustRightInd w:val="0"/>
        <w:ind w:left="851"/>
        <w:contextualSpacing/>
        <w:jc w:val="both"/>
        <w:rPr>
          <w:rFonts w:ascii="Arial" w:hAnsi="Arial" w:cs="Arial"/>
          <w:bCs/>
          <w:szCs w:val="24"/>
          <w:lang w:eastAsia="en-GB"/>
        </w:rPr>
      </w:pPr>
      <w:r w:rsidRPr="008E597F">
        <w:rPr>
          <w:rFonts w:ascii="Arial" w:hAnsi="Arial" w:cs="Arial"/>
          <w:bCs/>
          <w:szCs w:val="24"/>
          <w:lang w:eastAsia="en-GB"/>
        </w:rPr>
        <w:t xml:space="preserve">For North East Lincolnshire Council: </w:t>
      </w:r>
      <w:proofErr w:type="gramStart"/>
      <w:r w:rsidRPr="008E597F">
        <w:rPr>
          <w:rFonts w:ascii="Arial" w:hAnsi="Arial" w:cs="Arial"/>
          <w:bCs/>
          <w:szCs w:val="24"/>
          <w:lang w:eastAsia="en-GB"/>
        </w:rPr>
        <w:t>the</w:t>
      </w:r>
      <w:proofErr w:type="gramEnd"/>
      <w:r w:rsidRPr="008E597F">
        <w:rPr>
          <w:rFonts w:ascii="Arial" w:hAnsi="Arial" w:cs="Arial"/>
          <w:bCs/>
          <w:szCs w:val="24"/>
          <w:lang w:eastAsia="en-GB"/>
        </w:rPr>
        <w:t xml:space="preserve"> Local Government Act 1972 and the Local Government Act 2000;</w:t>
      </w:r>
    </w:p>
    <w:p w14:paraId="5654B57C" w14:textId="77777777" w:rsidR="008E597F" w:rsidRPr="008E597F" w:rsidRDefault="008E597F" w:rsidP="00495852">
      <w:pPr>
        <w:numPr>
          <w:ilvl w:val="0"/>
          <w:numId w:val="3"/>
        </w:numPr>
        <w:autoSpaceDE w:val="0"/>
        <w:autoSpaceDN w:val="0"/>
        <w:adjustRightInd w:val="0"/>
        <w:ind w:left="851"/>
        <w:contextualSpacing/>
        <w:jc w:val="both"/>
        <w:rPr>
          <w:rFonts w:ascii="Arial" w:hAnsi="Arial" w:cs="Arial"/>
          <w:bCs/>
          <w:szCs w:val="24"/>
          <w:lang w:eastAsia="en-GB"/>
        </w:rPr>
      </w:pPr>
      <w:r w:rsidRPr="008E597F">
        <w:rPr>
          <w:rFonts w:ascii="Arial" w:hAnsi="Arial" w:cs="Arial"/>
          <w:bCs/>
          <w:szCs w:val="24"/>
          <w:lang w:eastAsia="en-GB"/>
        </w:rPr>
        <w:t>For both Partners: all enabling and subordinate statutory guidance and regulatory requirements including respective constitutions;</w:t>
      </w:r>
    </w:p>
    <w:p w14:paraId="0AC33F53" w14:textId="77777777" w:rsidR="008E597F" w:rsidRPr="008E597F" w:rsidRDefault="008E597F" w:rsidP="008E597F">
      <w:pPr>
        <w:autoSpaceDE w:val="0"/>
        <w:autoSpaceDN w:val="0"/>
        <w:adjustRightInd w:val="0"/>
        <w:ind w:left="851"/>
        <w:contextualSpacing/>
        <w:jc w:val="both"/>
        <w:rPr>
          <w:rFonts w:ascii="Arial" w:hAnsi="Arial" w:cs="Arial"/>
          <w:bCs/>
          <w:szCs w:val="24"/>
          <w:lang w:eastAsia="en-GB"/>
        </w:rPr>
      </w:pPr>
      <w:r w:rsidRPr="008E597F">
        <w:rPr>
          <w:rFonts w:ascii="Arial" w:hAnsi="Arial" w:cs="Arial"/>
          <w:bCs/>
          <w:szCs w:val="24"/>
          <w:lang w:eastAsia="en-GB"/>
        </w:rPr>
        <w:t>for the conduct, administration, management and publication of committee meetings with the following additional provisions applying:</w:t>
      </w:r>
    </w:p>
    <w:p w14:paraId="7F610E7E" w14:textId="77777777" w:rsidR="008E597F" w:rsidRPr="008E597F" w:rsidRDefault="008E597F" w:rsidP="008E597F">
      <w:pPr>
        <w:autoSpaceDE w:val="0"/>
        <w:autoSpaceDN w:val="0"/>
        <w:adjustRightInd w:val="0"/>
        <w:jc w:val="both"/>
        <w:rPr>
          <w:rFonts w:ascii="Arial" w:hAnsi="Arial" w:cs="Arial"/>
          <w:bCs/>
          <w:szCs w:val="24"/>
          <w:lang w:eastAsia="en-GB"/>
        </w:rPr>
      </w:pPr>
    </w:p>
    <w:p w14:paraId="397CF02E" w14:textId="77777777" w:rsidR="00951E73" w:rsidRDefault="00951E73">
      <w:pPr>
        <w:rPr>
          <w:rFonts w:ascii="Arial" w:hAnsi="Arial" w:cs="Arial"/>
          <w:b/>
          <w:bCs/>
          <w:szCs w:val="24"/>
          <w:lang w:eastAsia="en-GB"/>
        </w:rPr>
      </w:pPr>
      <w:r>
        <w:rPr>
          <w:rFonts w:ascii="Arial" w:hAnsi="Arial" w:cs="Arial"/>
          <w:b/>
          <w:bCs/>
          <w:szCs w:val="24"/>
          <w:lang w:eastAsia="en-GB"/>
        </w:rPr>
        <w:br w:type="page"/>
      </w:r>
    </w:p>
    <w:p w14:paraId="4CE80CE1" w14:textId="5B1E6E5E" w:rsidR="008E597F" w:rsidRDefault="008E597F" w:rsidP="008E597F">
      <w:pPr>
        <w:autoSpaceDE w:val="0"/>
        <w:autoSpaceDN w:val="0"/>
        <w:adjustRightInd w:val="0"/>
        <w:jc w:val="both"/>
        <w:rPr>
          <w:rFonts w:ascii="Arial" w:hAnsi="Arial" w:cs="Arial"/>
          <w:b/>
          <w:bCs/>
          <w:szCs w:val="24"/>
          <w:lang w:eastAsia="en-GB"/>
        </w:rPr>
      </w:pPr>
      <w:r w:rsidRPr="008E597F">
        <w:rPr>
          <w:rFonts w:ascii="Arial" w:hAnsi="Arial" w:cs="Arial"/>
          <w:b/>
          <w:bCs/>
          <w:szCs w:val="24"/>
          <w:lang w:eastAsia="en-GB"/>
        </w:rPr>
        <w:lastRenderedPageBreak/>
        <w:t>1. Meeting Frequency</w:t>
      </w:r>
    </w:p>
    <w:p w14:paraId="7D42E9E7" w14:textId="77777777" w:rsidR="008E597F" w:rsidRPr="008E597F" w:rsidRDefault="008E597F" w:rsidP="008E597F">
      <w:pPr>
        <w:autoSpaceDE w:val="0"/>
        <w:autoSpaceDN w:val="0"/>
        <w:adjustRightInd w:val="0"/>
        <w:jc w:val="both"/>
        <w:rPr>
          <w:rFonts w:ascii="Arial" w:eastAsiaTheme="minorHAnsi" w:hAnsi="Arial" w:cs="Arial"/>
          <w:bCs/>
          <w:szCs w:val="24"/>
        </w:rPr>
      </w:pPr>
      <w:r w:rsidRPr="008E597F">
        <w:rPr>
          <w:rFonts w:ascii="Arial" w:eastAsiaTheme="minorHAnsi" w:hAnsi="Arial" w:cs="Arial"/>
          <w:bCs/>
          <w:szCs w:val="24"/>
        </w:rPr>
        <w:t xml:space="preserve">1.1 The Union Board shall meet at least every two months. </w:t>
      </w:r>
    </w:p>
    <w:p w14:paraId="0B143EC7" w14:textId="102E5A9E"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 xml:space="preserve">1.2 The Union Board can call other such meetings as they </w:t>
      </w:r>
      <w:r w:rsidR="00D115E7" w:rsidRPr="008E597F">
        <w:rPr>
          <w:rFonts w:ascii="Arial" w:hAnsi="Arial" w:cs="Arial"/>
          <w:bCs/>
          <w:szCs w:val="24"/>
          <w:lang w:eastAsia="en-GB"/>
        </w:rPr>
        <w:t>determine and</w:t>
      </w:r>
      <w:r w:rsidRPr="008E597F">
        <w:rPr>
          <w:rFonts w:ascii="Arial" w:hAnsi="Arial" w:cs="Arial"/>
          <w:bCs/>
          <w:szCs w:val="24"/>
          <w:lang w:eastAsia="en-GB"/>
        </w:rPr>
        <w:t xml:space="preserve"> agree to hold special meetings.</w:t>
      </w:r>
    </w:p>
    <w:p w14:paraId="22B91583" w14:textId="77777777" w:rsidR="008E597F" w:rsidRPr="008E597F" w:rsidRDefault="008E597F" w:rsidP="008E597F">
      <w:pPr>
        <w:autoSpaceDE w:val="0"/>
        <w:autoSpaceDN w:val="0"/>
        <w:adjustRightInd w:val="0"/>
        <w:jc w:val="both"/>
        <w:rPr>
          <w:rFonts w:ascii="Arial" w:hAnsi="Arial" w:cs="Arial"/>
          <w:bCs/>
          <w:szCs w:val="24"/>
          <w:lang w:eastAsia="en-GB"/>
        </w:rPr>
      </w:pPr>
    </w:p>
    <w:p w14:paraId="317B056D" w14:textId="77777777" w:rsidR="008E597F" w:rsidRPr="008E597F" w:rsidRDefault="008E597F" w:rsidP="008E597F">
      <w:pPr>
        <w:autoSpaceDE w:val="0"/>
        <w:autoSpaceDN w:val="0"/>
        <w:adjustRightInd w:val="0"/>
        <w:jc w:val="both"/>
        <w:rPr>
          <w:rFonts w:ascii="Arial" w:hAnsi="Arial" w:cs="Arial"/>
          <w:b/>
          <w:bCs/>
          <w:szCs w:val="24"/>
          <w:lang w:eastAsia="en-GB"/>
        </w:rPr>
      </w:pPr>
      <w:r w:rsidRPr="008E597F">
        <w:rPr>
          <w:rFonts w:ascii="Arial" w:hAnsi="Arial" w:cs="Arial"/>
          <w:b/>
          <w:bCs/>
          <w:szCs w:val="24"/>
          <w:lang w:eastAsia="en-GB"/>
        </w:rPr>
        <w:t>2. Membership</w:t>
      </w:r>
    </w:p>
    <w:p w14:paraId="578C0156"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 xml:space="preserve">2.1 Each Partner shall be represented on the Union Board by 4 individuals ("Members").  The individuals shall be drawn from the Council's Cabinet and the CCG's Governing Body and Members shall have the delegated authority set out herein.  </w:t>
      </w:r>
    </w:p>
    <w:p w14:paraId="1DF08B80" w14:textId="77777777" w:rsidR="008E597F" w:rsidRPr="008E597F" w:rsidRDefault="008E597F" w:rsidP="008E597F">
      <w:pPr>
        <w:autoSpaceDE w:val="0"/>
        <w:autoSpaceDN w:val="0"/>
        <w:adjustRightInd w:val="0"/>
        <w:jc w:val="both"/>
        <w:rPr>
          <w:rFonts w:ascii="Arial" w:hAnsi="Arial" w:cs="Arial"/>
          <w:bCs/>
          <w:szCs w:val="24"/>
          <w:lang w:eastAsia="en-GB"/>
        </w:rPr>
      </w:pPr>
    </w:p>
    <w:p w14:paraId="30248039" w14:textId="77777777" w:rsidR="008E597F" w:rsidRPr="008E597F" w:rsidRDefault="008E597F" w:rsidP="008E597F">
      <w:pPr>
        <w:autoSpaceDE w:val="0"/>
        <w:autoSpaceDN w:val="0"/>
        <w:adjustRightInd w:val="0"/>
        <w:jc w:val="both"/>
        <w:rPr>
          <w:rFonts w:ascii="Arial" w:hAnsi="Arial" w:cs="Arial"/>
          <w:b/>
          <w:bCs/>
          <w:szCs w:val="24"/>
          <w:lang w:eastAsia="en-GB"/>
        </w:rPr>
      </w:pPr>
      <w:r w:rsidRPr="008E597F">
        <w:rPr>
          <w:rFonts w:ascii="Arial" w:hAnsi="Arial" w:cs="Arial"/>
          <w:b/>
          <w:bCs/>
          <w:szCs w:val="24"/>
          <w:lang w:eastAsia="en-GB"/>
        </w:rPr>
        <w:t xml:space="preserve">3. Appointment of Chair and Vice Chair, </w:t>
      </w:r>
    </w:p>
    <w:p w14:paraId="0357D291"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3.1 The Chair of the Union Board shall be agreed and appointed by the CCG Chief Clinical Officer, Council Leader and the Chair of the Audit Committees of the  Council and CCG, for a period to be determined by them, and shall be drawn from the Membership of the Union Board as defined at paragraph 2.1.</w:t>
      </w:r>
    </w:p>
    <w:p w14:paraId="5B35BF91" w14:textId="5B3977FA" w:rsidR="008E597F" w:rsidRPr="008E597F" w:rsidRDefault="00D115E7"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3.2 The</w:t>
      </w:r>
      <w:r w:rsidR="008E597F" w:rsidRPr="008E597F">
        <w:rPr>
          <w:rFonts w:ascii="Arial" w:hAnsi="Arial" w:cs="Arial"/>
          <w:bCs/>
          <w:szCs w:val="24"/>
          <w:lang w:eastAsia="en-GB"/>
        </w:rPr>
        <w:t xml:space="preserve"> Chair shall be responsible for ensuring the management of conflicts of interest and disclosed interests of the Members at each meeting.</w:t>
      </w:r>
    </w:p>
    <w:p w14:paraId="3803150A" w14:textId="77777777" w:rsidR="008E597F" w:rsidRPr="008E597F" w:rsidRDefault="008E597F" w:rsidP="00495852">
      <w:pPr>
        <w:numPr>
          <w:ilvl w:val="1"/>
          <w:numId w:val="4"/>
        </w:numPr>
        <w:autoSpaceDE w:val="0"/>
        <w:autoSpaceDN w:val="0"/>
        <w:adjustRightInd w:val="0"/>
        <w:contextualSpacing/>
        <w:jc w:val="both"/>
        <w:rPr>
          <w:rFonts w:ascii="Arial" w:hAnsi="Arial" w:cs="Arial"/>
          <w:bCs/>
          <w:szCs w:val="24"/>
          <w:lang w:eastAsia="en-GB"/>
        </w:rPr>
      </w:pPr>
      <w:r w:rsidRPr="008E597F">
        <w:rPr>
          <w:rFonts w:ascii="Arial" w:hAnsi="Arial" w:cs="Arial"/>
          <w:szCs w:val="24"/>
          <w:lang w:eastAsia="en-GB"/>
        </w:rPr>
        <w:t xml:space="preserve"> The Chair will alternate between the CCG and NELC </w:t>
      </w:r>
    </w:p>
    <w:p w14:paraId="694AE1AB"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 xml:space="preserve">3.4 The Union Board shall appoint one of its Members to be Vice Chair of the Union Board. The period of office will be concurrent with that of the Chair, unless he or she resigns his or her office or ceases to be a Member. </w:t>
      </w:r>
    </w:p>
    <w:p w14:paraId="78C0506F"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 xml:space="preserve">3.5 The Vice Chair will not be from the same partner organisation as the Chair.  </w:t>
      </w:r>
    </w:p>
    <w:p w14:paraId="04DAA112"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3.6 Arrangements for secretariat shall be determined by the Joint Chief Executive from time to time.</w:t>
      </w:r>
    </w:p>
    <w:p w14:paraId="5261F4FF"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 xml:space="preserve"> </w:t>
      </w:r>
    </w:p>
    <w:p w14:paraId="1300C317" w14:textId="77777777" w:rsidR="008E597F" w:rsidRPr="008E597F" w:rsidRDefault="008E597F" w:rsidP="008E597F">
      <w:pPr>
        <w:autoSpaceDE w:val="0"/>
        <w:autoSpaceDN w:val="0"/>
        <w:adjustRightInd w:val="0"/>
        <w:jc w:val="both"/>
        <w:rPr>
          <w:rFonts w:ascii="Arial" w:hAnsi="Arial" w:cs="Arial"/>
          <w:b/>
          <w:bCs/>
          <w:szCs w:val="24"/>
          <w:lang w:eastAsia="en-GB"/>
        </w:rPr>
      </w:pPr>
      <w:r w:rsidRPr="008E597F">
        <w:rPr>
          <w:rFonts w:ascii="Arial" w:hAnsi="Arial" w:cs="Arial"/>
          <w:b/>
          <w:bCs/>
          <w:szCs w:val="24"/>
          <w:lang w:eastAsia="en-GB"/>
        </w:rPr>
        <w:t>4. Casual Vacancies</w:t>
      </w:r>
    </w:p>
    <w:p w14:paraId="1F4904C7"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4.1 On a casual vacancy occurring in the office of Chair or Vice Chair of the Union Board the vacancy shall be filled by the appointment by the Union Board of one of its Members at the next meeting and the person so appointed shall hold office until the date upon which the person in whose place he is appointed would regularly have retired.</w:t>
      </w:r>
    </w:p>
    <w:p w14:paraId="4F48FB57" w14:textId="77777777" w:rsidR="008E597F" w:rsidRPr="008E597F" w:rsidRDefault="008E597F" w:rsidP="008E597F">
      <w:pPr>
        <w:autoSpaceDE w:val="0"/>
        <w:autoSpaceDN w:val="0"/>
        <w:adjustRightInd w:val="0"/>
        <w:jc w:val="both"/>
        <w:rPr>
          <w:rFonts w:ascii="Arial" w:hAnsi="Arial" w:cs="Arial"/>
          <w:bCs/>
          <w:szCs w:val="24"/>
          <w:lang w:eastAsia="en-GB"/>
        </w:rPr>
      </w:pPr>
    </w:p>
    <w:p w14:paraId="3DDF2986" w14:textId="77777777" w:rsidR="008E597F" w:rsidRPr="008E597F" w:rsidRDefault="008E597F" w:rsidP="008E597F">
      <w:pPr>
        <w:autoSpaceDE w:val="0"/>
        <w:autoSpaceDN w:val="0"/>
        <w:adjustRightInd w:val="0"/>
        <w:jc w:val="both"/>
        <w:rPr>
          <w:rFonts w:ascii="Arial" w:hAnsi="Arial" w:cs="Arial"/>
          <w:b/>
          <w:bCs/>
          <w:szCs w:val="24"/>
          <w:lang w:eastAsia="en-GB"/>
        </w:rPr>
      </w:pPr>
      <w:r w:rsidRPr="008E597F">
        <w:rPr>
          <w:rFonts w:ascii="Arial" w:hAnsi="Arial" w:cs="Arial"/>
          <w:b/>
          <w:bCs/>
          <w:szCs w:val="24"/>
          <w:lang w:eastAsia="en-GB"/>
        </w:rPr>
        <w:t>5. Calling of Meetings</w:t>
      </w:r>
    </w:p>
    <w:p w14:paraId="3548C941"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5.1 The Joint Chief Executive of the Partners shall invite the Members to such meetings as may:</w:t>
      </w:r>
    </w:p>
    <w:p w14:paraId="445D98B5" w14:textId="77777777" w:rsidR="008E597F" w:rsidRPr="008E597F" w:rsidRDefault="008E597F" w:rsidP="008E597F">
      <w:pPr>
        <w:autoSpaceDE w:val="0"/>
        <w:autoSpaceDN w:val="0"/>
        <w:adjustRightInd w:val="0"/>
        <w:ind w:firstLine="720"/>
        <w:jc w:val="both"/>
        <w:rPr>
          <w:rFonts w:ascii="Arial" w:hAnsi="Arial" w:cs="Arial"/>
          <w:bCs/>
          <w:szCs w:val="24"/>
          <w:lang w:eastAsia="en-GB"/>
        </w:rPr>
      </w:pPr>
      <w:r w:rsidRPr="008E597F">
        <w:rPr>
          <w:rFonts w:ascii="Arial" w:hAnsi="Arial" w:cs="Arial"/>
          <w:bCs/>
          <w:szCs w:val="24"/>
          <w:lang w:eastAsia="en-GB"/>
        </w:rPr>
        <w:t>5.1.1 have been agreed in accordance with paragraph 1.2;</w:t>
      </w:r>
    </w:p>
    <w:p w14:paraId="55B82647" w14:textId="77777777" w:rsidR="008E597F" w:rsidRPr="008E597F" w:rsidRDefault="008E597F" w:rsidP="008E597F">
      <w:pPr>
        <w:autoSpaceDE w:val="0"/>
        <w:autoSpaceDN w:val="0"/>
        <w:adjustRightInd w:val="0"/>
        <w:ind w:left="720"/>
        <w:jc w:val="both"/>
        <w:rPr>
          <w:rFonts w:ascii="Arial" w:hAnsi="Arial" w:cs="Arial"/>
          <w:bCs/>
          <w:szCs w:val="24"/>
          <w:lang w:eastAsia="en-GB"/>
        </w:rPr>
      </w:pPr>
      <w:r w:rsidRPr="008E597F">
        <w:rPr>
          <w:rFonts w:ascii="Arial" w:hAnsi="Arial" w:cs="Arial"/>
          <w:bCs/>
          <w:szCs w:val="24"/>
          <w:lang w:eastAsia="en-GB"/>
        </w:rPr>
        <w:t>5.1.2 be called by the Chair of the Union Board or, if the office of Chair is vacant, the Vice Chair of the Union Board at any time; or</w:t>
      </w:r>
    </w:p>
    <w:p w14:paraId="14A1596C" w14:textId="77777777" w:rsidR="008E597F" w:rsidRPr="008E597F" w:rsidRDefault="008E597F" w:rsidP="008E597F">
      <w:pPr>
        <w:autoSpaceDE w:val="0"/>
        <w:autoSpaceDN w:val="0"/>
        <w:adjustRightInd w:val="0"/>
        <w:ind w:left="720"/>
        <w:jc w:val="both"/>
        <w:rPr>
          <w:rFonts w:ascii="Arial" w:hAnsi="Arial" w:cs="Arial"/>
          <w:bCs/>
          <w:szCs w:val="24"/>
          <w:lang w:eastAsia="en-GB"/>
        </w:rPr>
      </w:pPr>
      <w:r w:rsidRPr="008E597F">
        <w:rPr>
          <w:rFonts w:ascii="Arial" w:hAnsi="Arial" w:cs="Arial"/>
          <w:bCs/>
          <w:szCs w:val="24"/>
          <w:lang w:eastAsia="en-GB"/>
        </w:rPr>
        <w:t xml:space="preserve">5.1.3 be requisitioned by either Partner giving notice in writing to the Joint Chief Executive of the Partners specifying the nature of the business to be transacted and signed by the Chief Operating Officers of either Partner. </w:t>
      </w:r>
    </w:p>
    <w:p w14:paraId="0CF03FBB"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5.2 Unless the persons giving notice requisitioning a meeting in accordance with paragraph 5.1 agree otherwise, any meeting consequent upon such a requisition shall so far as practicable be held within 10 working days of the date of the receipt of the requisition by the Joint Chief Executive of the Partners.</w:t>
      </w:r>
    </w:p>
    <w:p w14:paraId="77C9A4F3"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5.3 At least five clear working days before a meeting of the Union Board</w:t>
      </w:r>
    </w:p>
    <w:p w14:paraId="0DC9EB14" w14:textId="77777777" w:rsidR="008E597F" w:rsidRPr="008E597F" w:rsidRDefault="008E597F" w:rsidP="008E597F">
      <w:pPr>
        <w:autoSpaceDE w:val="0"/>
        <w:autoSpaceDN w:val="0"/>
        <w:adjustRightInd w:val="0"/>
        <w:ind w:left="720"/>
        <w:jc w:val="both"/>
        <w:rPr>
          <w:rFonts w:ascii="Arial" w:hAnsi="Arial" w:cs="Arial"/>
          <w:bCs/>
          <w:szCs w:val="24"/>
          <w:lang w:eastAsia="en-GB"/>
        </w:rPr>
      </w:pPr>
      <w:r w:rsidRPr="008E597F">
        <w:rPr>
          <w:rFonts w:ascii="Arial" w:hAnsi="Arial" w:cs="Arial"/>
          <w:bCs/>
          <w:szCs w:val="24"/>
          <w:lang w:eastAsia="en-GB"/>
        </w:rPr>
        <w:t>5.3.1 notice of the time and place of the intended meeting shall be published by both the CCG and the Council: and</w:t>
      </w:r>
    </w:p>
    <w:p w14:paraId="164C07DB" w14:textId="77777777" w:rsidR="008E597F" w:rsidRPr="008E597F" w:rsidRDefault="008E597F" w:rsidP="008E597F">
      <w:pPr>
        <w:autoSpaceDE w:val="0"/>
        <w:autoSpaceDN w:val="0"/>
        <w:adjustRightInd w:val="0"/>
        <w:ind w:left="720"/>
        <w:jc w:val="both"/>
        <w:rPr>
          <w:rFonts w:ascii="Arial" w:hAnsi="Arial" w:cs="Arial"/>
          <w:bCs/>
          <w:szCs w:val="24"/>
          <w:lang w:eastAsia="en-GB"/>
        </w:rPr>
      </w:pPr>
      <w:r w:rsidRPr="008E597F">
        <w:rPr>
          <w:rFonts w:ascii="Arial" w:hAnsi="Arial" w:cs="Arial"/>
          <w:bCs/>
          <w:szCs w:val="24"/>
          <w:lang w:eastAsia="en-GB"/>
        </w:rPr>
        <w:t>5.3.2 an invitation to attend the meeting, specifying the agenda for that meeting and signed by the Joint Chief Executive of the Partners shall be sent in writing (email permitted) to:</w:t>
      </w:r>
    </w:p>
    <w:p w14:paraId="7DD608C3" w14:textId="77777777" w:rsidR="008E597F" w:rsidRPr="008E597F" w:rsidRDefault="008E597F" w:rsidP="008E597F">
      <w:pPr>
        <w:autoSpaceDE w:val="0"/>
        <w:autoSpaceDN w:val="0"/>
        <w:adjustRightInd w:val="0"/>
        <w:ind w:left="720"/>
        <w:jc w:val="both"/>
        <w:rPr>
          <w:rFonts w:ascii="Arial" w:hAnsi="Arial" w:cs="Arial"/>
          <w:bCs/>
          <w:szCs w:val="24"/>
          <w:lang w:eastAsia="en-GB"/>
        </w:rPr>
      </w:pPr>
      <w:r w:rsidRPr="008E597F">
        <w:rPr>
          <w:rFonts w:ascii="Arial" w:hAnsi="Arial" w:cs="Arial"/>
          <w:bCs/>
          <w:szCs w:val="24"/>
          <w:lang w:eastAsia="en-GB"/>
        </w:rPr>
        <w:t>5.3.2.1 every Member; and</w:t>
      </w:r>
    </w:p>
    <w:p w14:paraId="171B277D" w14:textId="77777777" w:rsidR="008E597F" w:rsidRPr="008E597F" w:rsidRDefault="008E597F" w:rsidP="008E597F">
      <w:pPr>
        <w:autoSpaceDE w:val="0"/>
        <w:autoSpaceDN w:val="0"/>
        <w:adjustRightInd w:val="0"/>
        <w:ind w:left="720"/>
        <w:jc w:val="both"/>
        <w:rPr>
          <w:rFonts w:ascii="Arial" w:hAnsi="Arial" w:cs="Arial"/>
          <w:bCs/>
          <w:szCs w:val="24"/>
          <w:lang w:eastAsia="en-GB"/>
        </w:rPr>
      </w:pPr>
      <w:r w:rsidRPr="008E597F">
        <w:rPr>
          <w:rFonts w:ascii="Arial" w:hAnsi="Arial" w:cs="Arial"/>
          <w:bCs/>
          <w:szCs w:val="24"/>
          <w:lang w:eastAsia="en-GB"/>
        </w:rPr>
        <w:t xml:space="preserve">5.3.2.2 any officer invited to attend by the Joint Chief Executive of the Partners </w:t>
      </w:r>
    </w:p>
    <w:p w14:paraId="355CFD1E" w14:textId="77777777" w:rsidR="00951E73"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5.4 The Joint Chief Executive will draw up the agenda in consultation with both the Chair and Vice Chair.</w:t>
      </w:r>
    </w:p>
    <w:p w14:paraId="6B660FFA" w14:textId="4CDC2AA6"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5.5 No business shall be transacted at a meeting requisitioned by virtue of paragraph 5.6 other than that specified in the agenda unless such business is at the discretion of the Chair deemed urgent business, the reasons for urgency to be stated and minuted</w:t>
      </w:r>
    </w:p>
    <w:p w14:paraId="457FD425" w14:textId="77777777" w:rsidR="008E597F" w:rsidRPr="008E597F" w:rsidRDefault="008E597F" w:rsidP="008E597F">
      <w:pPr>
        <w:autoSpaceDE w:val="0"/>
        <w:autoSpaceDN w:val="0"/>
        <w:adjustRightInd w:val="0"/>
        <w:jc w:val="both"/>
        <w:rPr>
          <w:rFonts w:ascii="Arial" w:hAnsi="Arial" w:cs="Arial"/>
          <w:bCs/>
          <w:szCs w:val="24"/>
          <w:lang w:eastAsia="en-GB"/>
        </w:rPr>
      </w:pPr>
    </w:p>
    <w:p w14:paraId="53FA5FB0" w14:textId="77777777" w:rsidR="008E597F" w:rsidRPr="008E597F" w:rsidRDefault="008E597F" w:rsidP="008E597F">
      <w:pPr>
        <w:autoSpaceDE w:val="0"/>
        <w:autoSpaceDN w:val="0"/>
        <w:adjustRightInd w:val="0"/>
        <w:jc w:val="both"/>
        <w:rPr>
          <w:rFonts w:ascii="Arial" w:hAnsi="Arial" w:cs="Arial"/>
          <w:b/>
          <w:bCs/>
          <w:szCs w:val="24"/>
          <w:lang w:eastAsia="en-GB"/>
        </w:rPr>
      </w:pPr>
      <w:r w:rsidRPr="008E597F">
        <w:rPr>
          <w:rFonts w:ascii="Arial" w:hAnsi="Arial" w:cs="Arial"/>
          <w:b/>
          <w:bCs/>
          <w:szCs w:val="24"/>
          <w:lang w:eastAsia="en-GB"/>
        </w:rPr>
        <w:t>6. Nominated Officers to Attend</w:t>
      </w:r>
    </w:p>
    <w:p w14:paraId="4735D162"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lastRenderedPageBreak/>
        <w:t>6.1 The Joint Chief Executive shall determine the attendance of officers from each Partner who shall be entitled to attend the meeting of the Union Board.</w:t>
      </w:r>
    </w:p>
    <w:p w14:paraId="76AE6C66" w14:textId="77777777" w:rsidR="008E597F" w:rsidRPr="008E597F" w:rsidRDefault="008E597F" w:rsidP="008E597F">
      <w:pPr>
        <w:autoSpaceDE w:val="0"/>
        <w:autoSpaceDN w:val="0"/>
        <w:adjustRightInd w:val="0"/>
        <w:jc w:val="both"/>
        <w:rPr>
          <w:rFonts w:ascii="Arial" w:hAnsi="Arial" w:cs="Arial"/>
          <w:b/>
          <w:bCs/>
          <w:szCs w:val="24"/>
          <w:lang w:eastAsia="en-GB"/>
        </w:rPr>
      </w:pPr>
    </w:p>
    <w:p w14:paraId="1C81700E" w14:textId="77777777" w:rsidR="008E597F" w:rsidRPr="008E597F" w:rsidRDefault="008E597F" w:rsidP="008E597F">
      <w:pPr>
        <w:autoSpaceDE w:val="0"/>
        <w:autoSpaceDN w:val="0"/>
        <w:adjustRightInd w:val="0"/>
        <w:jc w:val="both"/>
        <w:rPr>
          <w:rFonts w:ascii="Arial" w:hAnsi="Arial" w:cs="Arial"/>
          <w:b/>
          <w:bCs/>
          <w:szCs w:val="24"/>
          <w:lang w:eastAsia="en-GB"/>
        </w:rPr>
      </w:pPr>
      <w:r w:rsidRPr="008E597F">
        <w:rPr>
          <w:rFonts w:ascii="Arial" w:hAnsi="Arial" w:cs="Arial"/>
          <w:b/>
          <w:bCs/>
          <w:szCs w:val="24"/>
          <w:lang w:eastAsia="en-GB"/>
        </w:rPr>
        <w:t>7. Quorum</w:t>
      </w:r>
    </w:p>
    <w:p w14:paraId="2CB48B40"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7.1 The number of Members constituting a quorum shall be six, (which shall be made up of three Members of each Partner) and further provided that no item of business shall be transacted (save the immediate adjournment of a non-quorate meeting) at a meeting of the Union Board unless at least three members from each Partner is present and entitled to vote thereon.</w:t>
      </w:r>
    </w:p>
    <w:p w14:paraId="254ED8A3" w14:textId="77777777" w:rsidR="008E597F" w:rsidRPr="008E597F" w:rsidRDefault="008E597F" w:rsidP="008E597F">
      <w:pPr>
        <w:autoSpaceDE w:val="0"/>
        <w:autoSpaceDN w:val="0"/>
        <w:adjustRightInd w:val="0"/>
        <w:jc w:val="both"/>
        <w:rPr>
          <w:rFonts w:ascii="Arial" w:hAnsi="Arial" w:cs="Arial"/>
          <w:bCs/>
          <w:szCs w:val="24"/>
          <w:lang w:eastAsia="en-GB"/>
        </w:rPr>
      </w:pPr>
    </w:p>
    <w:p w14:paraId="5CD9BC81" w14:textId="77777777" w:rsidR="008E597F" w:rsidRPr="008E597F" w:rsidRDefault="008E597F" w:rsidP="008E597F">
      <w:pPr>
        <w:autoSpaceDE w:val="0"/>
        <w:autoSpaceDN w:val="0"/>
        <w:adjustRightInd w:val="0"/>
        <w:jc w:val="both"/>
        <w:rPr>
          <w:rFonts w:ascii="Arial" w:hAnsi="Arial" w:cs="Arial"/>
          <w:b/>
          <w:bCs/>
          <w:szCs w:val="24"/>
          <w:lang w:eastAsia="en-GB"/>
        </w:rPr>
      </w:pPr>
      <w:r w:rsidRPr="008E597F">
        <w:rPr>
          <w:rFonts w:ascii="Arial" w:hAnsi="Arial" w:cs="Arial"/>
          <w:b/>
          <w:bCs/>
          <w:szCs w:val="24"/>
          <w:lang w:eastAsia="en-GB"/>
        </w:rPr>
        <w:t>8. Voting</w:t>
      </w:r>
    </w:p>
    <w:p w14:paraId="2AF0D496"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8.1</w:t>
      </w:r>
      <w:r w:rsidRPr="008E597F">
        <w:rPr>
          <w:rFonts w:ascii="Arial" w:hAnsi="Arial" w:cs="Arial"/>
          <w:bCs/>
          <w:szCs w:val="24"/>
          <w:lang w:eastAsia="en-GB"/>
        </w:rPr>
        <w:tab/>
        <w:t>For a decision to be taken it must be unanimously agreed by both Partners and in accordance with the delegated authority referred to in paragraph 3 above.  Each Partner takes its decision by a majority vote of those of its committee members that are present and voting at the meeting at which the decision is taken.</w:t>
      </w:r>
    </w:p>
    <w:p w14:paraId="74183FFA" w14:textId="77777777" w:rsidR="008E597F" w:rsidRPr="008E597F" w:rsidRDefault="008E597F" w:rsidP="008E597F">
      <w:pPr>
        <w:autoSpaceDE w:val="0"/>
        <w:autoSpaceDN w:val="0"/>
        <w:adjustRightInd w:val="0"/>
        <w:jc w:val="both"/>
        <w:rPr>
          <w:rFonts w:ascii="Arial" w:hAnsi="Arial" w:cs="Arial"/>
          <w:bCs/>
          <w:szCs w:val="24"/>
          <w:lang w:eastAsia="en-GB"/>
        </w:rPr>
      </w:pPr>
    </w:p>
    <w:p w14:paraId="615B5094"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8.1.1</w:t>
      </w:r>
      <w:r w:rsidRPr="008E597F">
        <w:rPr>
          <w:rFonts w:ascii="Arial" w:hAnsi="Arial" w:cs="Arial"/>
          <w:bCs/>
          <w:szCs w:val="24"/>
          <w:lang w:eastAsia="en-GB"/>
        </w:rPr>
        <w:tab/>
        <w:t>The decisions of the CCG taken at the committees in common shall be binding upon the CCG by virtue of the delegated authority referred to in paragraph 3 above.</w:t>
      </w:r>
    </w:p>
    <w:p w14:paraId="072F3A3A" w14:textId="77777777" w:rsidR="008E597F" w:rsidRPr="008E597F" w:rsidRDefault="008E597F" w:rsidP="008E597F">
      <w:pPr>
        <w:autoSpaceDE w:val="0"/>
        <w:autoSpaceDN w:val="0"/>
        <w:adjustRightInd w:val="0"/>
        <w:jc w:val="both"/>
        <w:rPr>
          <w:rFonts w:ascii="Arial" w:hAnsi="Arial" w:cs="Arial"/>
          <w:bCs/>
          <w:szCs w:val="24"/>
          <w:lang w:eastAsia="en-GB"/>
        </w:rPr>
      </w:pPr>
    </w:p>
    <w:p w14:paraId="39D96B3C"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8.1.2</w:t>
      </w:r>
      <w:r w:rsidRPr="008E597F">
        <w:rPr>
          <w:rFonts w:ascii="Arial" w:hAnsi="Arial" w:cs="Arial"/>
          <w:bCs/>
          <w:szCs w:val="24"/>
          <w:lang w:eastAsia="en-GB"/>
        </w:rPr>
        <w:tab/>
        <w:t>The decisions of the Council taken at the committees in common shall be binding upon the Cabinet by virtue of the delegated authority referred to in paragraph 3 above.</w:t>
      </w:r>
    </w:p>
    <w:p w14:paraId="64F39E0F" w14:textId="77777777" w:rsidR="008E597F" w:rsidRPr="008E597F" w:rsidRDefault="008E597F" w:rsidP="008E597F">
      <w:pPr>
        <w:autoSpaceDE w:val="0"/>
        <w:autoSpaceDN w:val="0"/>
        <w:adjustRightInd w:val="0"/>
        <w:jc w:val="both"/>
        <w:rPr>
          <w:rFonts w:ascii="Arial" w:hAnsi="Arial" w:cs="Arial"/>
          <w:bCs/>
          <w:szCs w:val="24"/>
          <w:lang w:eastAsia="en-GB"/>
        </w:rPr>
      </w:pPr>
    </w:p>
    <w:p w14:paraId="7103874E" w14:textId="77777777" w:rsidR="008E597F" w:rsidRPr="008E597F" w:rsidRDefault="008E597F" w:rsidP="008E597F">
      <w:pPr>
        <w:autoSpaceDE w:val="0"/>
        <w:autoSpaceDN w:val="0"/>
        <w:adjustRightInd w:val="0"/>
        <w:jc w:val="both"/>
        <w:rPr>
          <w:rFonts w:ascii="Arial" w:hAnsi="Arial" w:cs="Arial"/>
          <w:b/>
          <w:bCs/>
          <w:szCs w:val="24"/>
          <w:lang w:eastAsia="en-GB"/>
        </w:rPr>
      </w:pPr>
      <w:r w:rsidRPr="008E597F">
        <w:rPr>
          <w:rFonts w:ascii="Arial" w:hAnsi="Arial" w:cs="Arial"/>
          <w:b/>
          <w:bCs/>
          <w:szCs w:val="24"/>
          <w:lang w:eastAsia="en-GB"/>
        </w:rPr>
        <w:t>9.A</w:t>
      </w:r>
      <w:r w:rsidRPr="008E597F">
        <w:rPr>
          <w:rFonts w:ascii="Arial" w:hAnsi="Arial" w:cs="Arial"/>
          <w:b/>
          <w:bCs/>
          <w:szCs w:val="24"/>
          <w:lang w:eastAsia="en-GB"/>
        </w:rPr>
        <w:tab/>
        <w:t>Standards of Business Conduct/Conflict of Interest (CCG)</w:t>
      </w:r>
    </w:p>
    <w:p w14:paraId="2F6A9DB8"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9.A.1 All Members must adhere to the CCG’s Constitution and Standards of Business Conduct / Conflicts of Interest policies, together with NHS England statutory guidance on managing conflicts of interest.</w:t>
      </w:r>
    </w:p>
    <w:p w14:paraId="2831625A" w14:textId="77777777" w:rsidR="008E597F" w:rsidRPr="008E597F" w:rsidRDefault="008E597F" w:rsidP="008E597F">
      <w:pPr>
        <w:autoSpaceDE w:val="0"/>
        <w:autoSpaceDN w:val="0"/>
        <w:adjustRightInd w:val="0"/>
        <w:jc w:val="both"/>
        <w:rPr>
          <w:rFonts w:ascii="Arial" w:hAnsi="Arial" w:cs="Arial"/>
          <w:bCs/>
          <w:szCs w:val="24"/>
          <w:lang w:eastAsia="en-GB"/>
        </w:rPr>
      </w:pPr>
    </w:p>
    <w:p w14:paraId="0996ED9E"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9.A.2 Where a Member believes that he/she has a conflict of interest in relation to one or more agenda items, they must declare this at the beginning of the meeting wherever possible, and always in advance of the agenda item being discussed. It will be responsibility of the Chair of Board to decide how to manage the conflict and the appropriate course of action.</w:t>
      </w:r>
    </w:p>
    <w:p w14:paraId="7E266E7B" w14:textId="77777777" w:rsidR="008E597F" w:rsidRPr="008E597F" w:rsidRDefault="008E597F" w:rsidP="008E597F">
      <w:pPr>
        <w:autoSpaceDE w:val="0"/>
        <w:autoSpaceDN w:val="0"/>
        <w:adjustRightInd w:val="0"/>
        <w:jc w:val="both"/>
        <w:rPr>
          <w:rFonts w:ascii="Arial" w:hAnsi="Arial" w:cs="Arial"/>
          <w:bCs/>
          <w:szCs w:val="24"/>
          <w:lang w:eastAsia="en-GB"/>
        </w:rPr>
      </w:pPr>
    </w:p>
    <w:p w14:paraId="23696BB5"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9.A.3 To further strengthen scrutiny and transparency of CCG’s decision-making processes the CCG has an appointed Conflict of Interest Guardian. This role is undertaken by the CCG’s Integrated Governance &amp; Audit Chair.</w:t>
      </w:r>
    </w:p>
    <w:p w14:paraId="1E55BE85" w14:textId="77777777" w:rsidR="008E597F" w:rsidRPr="008E597F" w:rsidRDefault="008E597F" w:rsidP="008E597F">
      <w:pPr>
        <w:autoSpaceDE w:val="0"/>
        <w:autoSpaceDN w:val="0"/>
        <w:adjustRightInd w:val="0"/>
        <w:jc w:val="both"/>
        <w:rPr>
          <w:rFonts w:ascii="Arial" w:hAnsi="Arial" w:cs="Arial"/>
          <w:bCs/>
          <w:szCs w:val="24"/>
          <w:lang w:eastAsia="en-GB"/>
        </w:rPr>
      </w:pPr>
    </w:p>
    <w:p w14:paraId="5A7ABDE5"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9.A.4 Any interests that are declared at a meeting must be included on the CCG’s Declaration of interest Register. Where this is not already the case, the individual with the conflict must ensure that the item is added to their declaration as soon as is practicable following the meeting</w:t>
      </w:r>
    </w:p>
    <w:p w14:paraId="2258F379" w14:textId="77777777" w:rsidR="00D115E7" w:rsidRDefault="00D115E7" w:rsidP="00D115E7">
      <w:pPr>
        <w:rPr>
          <w:rFonts w:ascii="Arial" w:hAnsi="Arial" w:cs="Arial"/>
          <w:bCs/>
          <w:szCs w:val="24"/>
          <w:lang w:eastAsia="en-GB"/>
        </w:rPr>
      </w:pPr>
    </w:p>
    <w:p w14:paraId="1E5BD44D" w14:textId="77777777" w:rsidR="00951E73" w:rsidRDefault="00951E73">
      <w:pPr>
        <w:rPr>
          <w:rFonts w:ascii="Arial" w:hAnsi="Arial" w:cs="Arial"/>
          <w:b/>
          <w:bCs/>
          <w:szCs w:val="24"/>
          <w:lang w:eastAsia="en-GB"/>
        </w:rPr>
      </w:pPr>
      <w:r>
        <w:rPr>
          <w:rFonts w:ascii="Arial" w:hAnsi="Arial" w:cs="Arial"/>
          <w:b/>
          <w:bCs/>
          <w:szCs w:val="24"/>
          <w:lang w:eastAsia="en-GB"/>
        </w:rPr>
        <w:br w:type="page"/>
      </w:r>
    </w:p>
    <w:p w14:paraId="289C3002" w14:textId="2618BEC8" w:rsidR="008E597F" w:rsidRPr="008E597F" w:rsidRDefault="008E597F" w:rsidP="00D115E7">
      <w:pPr>
        <w:tabs>
          <w:tab w:val="left" w:pos="900"/>
        </w:tabs>
        <w:rPr>
          <w:rFonts w:ascii="Arial" w:hAnsi="Arial" w:cs="Arial"/>
          <w:b/>
          <w:bCs/>
          <w:szCs w:val="24"/>
          <w:lang w:eastAsia="en-GB"/>
        </w:rPr>
      </w:pPr>
      <w:r w:rsidRPr="008E597F">
        <w:rPr>
          <w:rFonts w:ascii="Arial" w:hAnsi="Arial" w:cs="Arial"/>
          <w:b/>
          <w:bCs/>
          <w:szCs w:val="24"/>
          <w:lang w:eastAsia="en-GB"/>
        </w:rPr>
        <w:lastRenderedPageBreak/>
        <w:t>9.B</w:t>
      </w:r>
      <w:r w:rsidRPr="008E597F">
        <w:rPr>
          <w:rFonts w:ascii="Arial" w:hAnsi="Arial" w:cs="Arial"/>
          <w:b/>
          <w:bCs/>
          <w:szCs w:val="24"/>
          <w:lang w:eastAsia="en-GB"/>
        </w:rPr>
        <w:tab/>
        <w:t>Standards of Business Conduct/Conflict of Interest (Council)</w:t>
      </w:r>
    </w:p>
    <w:p w14:paraId="0AEA8662" w14:textId="77777777" w:rsidR="008E597F" w:rsidRPr="008E597F"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9.B.1</w:t>
      </w:r>
      <w:r w:rsidRPr="008E597F">
        <w:rPr>
          <w:rFonts w:ascii="Arial" w:hAnsi="Arial" w:cs="Arial"/>
          <w:bCs/>
          <w:szCs w:val="24"/>
          <w:lang w:eastAsia="en-GB"/>
        </w:rPr>
        <w:tab/>
        <w:t>All Members must adhere to the Council’s Constitution and Members Code of Conduct.</w:t>
      </w:r>
    </w:p>
    <w:p w14:paraId="62322648" w14:textId="77777777" w:rsidR="008E597F" w:rsidRPr="008E597F" w:rsidRDefault="008E597F" w:rsidP="008E597F">
      <w:pPr>
        <w:autoSpaceDE w:val="0"/>
        <w:autoSpaceDN w:val="0"/>
        <w:adjustRightInd w:val="0"/>
        <w:jc w:val="both"/>
        <w:rPr>
          <w:rFonts w:ascii="Arial" w:hAnsi="Arial" w:cs="Arial"/>
          <w:bCs/>
          <w:szCs w:val="24"/>
          <w:lang w:eastAsia="en-GB"/>
        </w:rPr>
      </w:pPr>
    </w:p>
    <w:p w14:paraId="422C2229" w14:textId="264D2B62" w:rsidR="00D115E7" w:rsidRDefault="008E597F" w:rsidP="008E597F">
      <w:pPr>
        <w:autoSpaceDE w:val="0"/>
        <w:autoSpaceDN w:val="0"/>
        <w:adjustRightInd w:val="0"/>
        <w:jc w:val="both"/>
        <w:rPr>
          <w:rFonts w:ascii="Arial" w:hAnsi="Arial" w:cs="Arial"/>
          <w:bCs/>
          <w:szCs w:val="24"/>
          <w:lang w:eastAsia="en-GB"/>
        </w:rPr>
      </w:pPr>
      <w:r w:rsidRPr="008E597F">
        <w:rPr>
          <w:rFonts w:ascii="Arial" w:hAnsi="Arial" w:cs="Arial"/>
          <w:bCs/>
          <w:szCs w:val="24"/>
          <w:lang w:eastAsia="en-GB"/>
        </w:rPr>
        <w:t xml:space="preserve">9.B.2 Where a Member believes that he/she has a declarable interest in relation to one or more agenda items, he/she must declare this at the beginning of the </w:t>
      </w:r>
      <w:r w:rsidR="00D115E7" w:rsidRPr="008E597F">
        <w:rPr>
          <w:rFonts w:ascii="Arial" w:hAnsi="Arial" w:cs="Arial"/>
          <w:bCs/>
          <w:szCs w:val="24"/>
          <w:lang w:eastAsia="en-GB"/>
        </w:rPr>
        <w:t>meeting and</w:t>
      </w:r>
      <w:r w:rsidRPr="008E597F">
        <w:rPr>
          <w:rFonts w:ascii="Arial" w:hAnsi="Arial" w:cs="Arial"/>
          <w:bCs/>
          <w:szCs w:val="24"/>
          <w:lang w:eastAsia="en-GB"/>
        </w:rPr>
        <w:t xml:space="preserve"> always in advance of the agenda item being discussed.</w:t>
      </w:r>
    </w:p>
    <w:p w14:paraId="7986091E" w14:textId="77777777" w:rsidR="00951E73" w:rsidRDefault="00951E73" w:rsidP="008E597F">
      <w:pPr>
        <w:autoSpaceDE w:val="0"/>
        <w:autoSpaceDN w:val="0"/>
        <w:adjustRightInd w:val="0"/>
        <w:jc w:val="both"/>
        <w:rPr>
          <w:rFonts w:ascii="Arial" w:hAnsi="Arial" w:cs="Arial"/>
          <w:bCs/>
          <w:szCs w:val="24"/>
          <w:lang w:eastAsia="en-GB"/>
        </w:rPr>
      </w:pPr>
    </w:p>
    <w:p w14:paraId="4BE3F3ED" w14:textId="7FFBFBB3" w:rsidR="008E597F" w:rsidRPr="008E597F" w:rsidRDefault="008E597F" w:rsidP="00D115E7">
      <w:pPr>
        <w:autoSpaceDE w:val="0"/>
        <w:autoSpaceDN w:val="0"/>
        <w:adjustRightInd w:val="0"/>
        <w:jc w:val="both"/>
        <w:rPr>
          <w:b/>
          <w:sz w:val="36"/>
          <w:szCs w:val="36"/>
        </w:rPr>
      </w:pPr>
      <w:r w:rsidRPr="008E597F">
        <w:rPr>
          <w:rFonts w:ascii="Arial" w:hAnsi="Arial" w:cs="Arial"/>
          <w:bCs/>
          <w:szCs w:val="24"/>
          <w:lang w:eastAsia="en-GB"/>
        </w:rPr>
        <w:t xml:space="preserve">9.B.3 Any interests that are declared at a meeting must be included on the Council’s Register of interests if they are not already so included. </w:t>
      </w:r>
    </w:p>
    <w:sectPr w:rsidR="008E597F" w:rsidRPr="008E597F" w:rsidSect="00951E73">
      <w:pgSz w:w="11900" w:h="16840"/>
      <w:pgMar w:top="567" w:right="843" w:bottom="426"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AD2C2" w14:textId="77777777" w:rsidR="00403EEE" w:rsidRDefault="00403EEE" w:rsidP="00E1284E">
      <w:r>
        <w:separator/>
      </w:r>
    </w:p>
  </w:endnote>
  <w:endnote w:type="continuationSeparator" w:id="0">
    <w:p w14:paraId="6815262E" w14:textId="77777777" w:rsidR="00403EEE" w:rsidRDefault="00403EEE"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6C7B3" w14:textId="77777777" w:rsidR="00403EEE" w:rsidRDefault="00403EEE" w:rsidP="00E1284E">
      <w:r>
        <w:separator/>
      </w:r>
    </w:p>
  </w:footnote>
  <w:footnote w:type="continuationSeparator" w:id="0">
    <w:p w14:paraId="4A52C0F9" w14:textId="77777777" w:rsidR="00403EEE" w:rsidRDefault="00403EEE" w:rsidP="00E12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50DF"/>
    <w:multiLevelType w:val="hybridMultilevel"/>
    <w:tmpl w:val="855822E6"/>
    <w:styleLink w:val="BulletBig"/>
    <w:lvl w:ilvl="0" w:tplc="29D8BF1A">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D0832A">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E457D8">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B46898">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AA66F8">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84450">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CEC4CC">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A4BE0">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18CD5A">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330311"/>
    <w:multiLevelType w:val="hybridMultilevel"/>
    <w:tmpl w:val="9FDC5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464D5E"/>
    <w:multiLevelType w:val="hybridMultilevel"/>
    <w:tmpl w:val="81FE6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B3599"/>
    <w:multiLevelType w:val="multilevel"/>
    <w:tmpl w:val="647EB7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F256864"/>
    <w:multiLevelType w:val="multilevel"/>
    <w:tmpl w:val="2202222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ocumentProtection w:edit="readOnly" w:enforcement="1" w:cryptProviderType="rsaAES" w:cryptAlgorithmClass="hash" w:cryptAlgorithmType="typeAny" w:cryptAlgorithmSid="14" w:cryptSpinCount="100000" w:hash="Y1+FNjkTutdeG4MqiNPDhaOvl8pqdaIGuEhJN+vQXaJ1FGEAlPNmgXikq4ZsXEp58W/ffEBo39Crxnnv35Tuag==" w:salt="0EiskrU4Zf5u3898BLmrlA=="/>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92546C"/>
    <w:rsid w:val="00005BBC"/>
    <w:rsid w:val="00006E07"/>
    <w:rsid w:val="00010C53"/>
    <w:rsid w:val="00011FF5"/>
    <w:rsid w:val="000141D2"/>
    <w:rsid w:val="00014E31"/>
    <w:rsid w:val="00015509"/>
    <w:rsid w:val="000155B8"/>
    <w:rsid w:val="00022DDB"/>
    <w:rsid w:val="0002742D"/>
    <w:rsid w:val="00030635"/>
    <w:rsid w:val="00034CF6"/>
    <w:rsid w:val="000350E4"/>
    <w:rsid w:val="000455BE"/>
    <w:rsid w:val="00046B77"/>
    <w:rsid w:val="000523CF"/>
    <w:rsid w:val="0006589F"/>
    <w:rsid w:val="00066B50"/>
    <w:rsid w:val="00070000"/>
    <w:rsid w:val="00081C14"/>
    <w:rsid w:val="00083C5F"/>
    <w:rsid w:val="00085C7E"/>
    <w:rsid w:val="0009052F"/>
    <w:rsid w:val="00090A5B"/>
    <w:rsid w:val="00096E41"/>
    <w:rsid w:val="000A39DD"/>
    <w:rsid w:val="000A3B0F"/>
    <w:rsid w:val="000A3C45"/>
    <w:rsid w:val="000A4174"/>
    <w:rsid w:val="000A553D"/>
    <w:rsid w:val="000A554D"/>
    <w:rsid w:val="000A7EB7"/>
    <w:rsid w:val="000C17B2"/>
    <w:rsid w:val="000C1D71"/>
    <w:rsid w:val="000C4D3C"/>
    <w:rsid w:val="000C70E4"/>
    <w:rsid w:val="000D1426"/>
    <w:rsid w:val="000D1B0D"/>
    <w:rsid w:val="000D5A8B"/>
    <w:rsid w:val="000E174C"/>
    <w:rsid w:val="000F2FF3"/>
    <w:rsid w:val="000F4D62"/>
    <w:rsid w:val="00104A06"/>
    <w:rsid w:val="00106BEA"/>
    <w:rsid w:val="00107535"/>
    <w:rsid w:val="001139C9"/>
    <w:rsid w:val="00123538"/>
    <w:rsid w:val="00124CFA"/>
    <w:rsid w:val="00136B75"/>
    <w:rsid w:val="00137738"/>
    <w:rsid w:val="001422F6"/>
    <w:rsid w:val="00144ED4"/>
    <w:rsid w:val="001556E0"/>
    <w:rsid w:val="00160986"/>
    <w:rsid w:val="0016106E"/>
    <w:rsid w:val="001635FA"/>
    <w:rsid w:val="0016479A"/>
    <w:rsid w:val="00173DF4"/>
    <w:rsid w:val="00182B92"/>
    <w:rsid w:val="001844FC"/>
    <w:rsid w:val="00184EC3"/>
    <w:rsid w:val="001906C9"/>
    <w:rsid w:val="001977B4"/>
    <w:rsid w:val="001B136B"/>
    <w:rsid w:val="001B168B"/>
    <w:rsid w:val="001C08AE"/>
    <w:rsid w:val="001C3538"/>
    <w:rsid w:val="001C3763"/>
    <w:rsid w:val="001C4B14"/>
    <w:rsid w:val="001D0F80"/>
    <w:rsid w:val="001D2409"/>
    <w:rsid w:val="001D2E69"/>
    <w:rsid w:val="001D3AE3"/>
    <w:rsid w:val="001D58C2"/>
    <w:rsid w:val="001E0901"/>
    <w:rsid w:val="001E4BE5"/>
    <w:rsid w:val="001E534B"/>
    <w:rsid w:val="001F6F9C"/>
    <w:rsid w:val="002002F2"/>
    <w:rsid w:val="00201206"/>
    <w:rsid w:val="00204401"/>
    <w:rsid w:val="002044CF"/>
    <w:rsid w:val="002054A0"/>
    <w:rsid w:val="002110AD"/>
    <w:rsid w:val="0021334D"/>
    <w:rsid w:val="00217CBA"/>
    <w:rsid w:val="00221EE9"/>
    <w:rsid w:val="002353A9"/>
    <w:rsid w:val="00236BD5"/>
    <w:rsid w:val="00237B20"/>
    <w:rsid w:val="00246A4E"/>
    <w:rsid w:val="00246DF9"/>
    <w:rsid w:val="00246EFA"/>
    <w:rsid w:val="00254FDA"/>
    <w:rsid w:val="002603F9"/>
    <w:rsid w:val="00260E5D"/>
    <w:rsid w:val="00263A17"/>
    <w:rsid w:val="00277E5F"/>
    <w:rsid w:val="00280F83"/>
    <w:rsid w:val="0028419C"/>
    <w:rsid w:val="002A1C70"/>
    <w:rsid w:val="002C2219"/>
    <w:rsid w:val="002C27F8"/>
    <w:rsid w:val="002C6607"/>
    <w:rsid w:val="002C6F9C"/>
    <w:rsid w:val="002D675D"/>
    <w:rsid w:val="002D6FA8"/>
    <w:rsid w:val="002D7DF4"/>
    <w:rsid w:val="002E196F"/>
    <w:rsid w:val="002E1F06"/>
    <w:rsid w:val="002E6459"/>
    <w:rsid w:val="002E7562"/>
    <w:rsid w:val="002F38A7"/>
    <w:rsid w:val="002F4581"/>
    <w:rsid w:val="00306A1B"/>
    <w:rsid w:val="00314D74"/>
    <w:rsid w:val="00316EE5"/>
    <w:rsid w:val="003200B2"/>
    <w:rsid w:val="00324B10"/>
    <w:rsid w:val="00330903"/>
    <w:rsid w:val="0033472E"/>
    <w:rsid w:val="0035380A"/>
    <w:rsid w:val="0037000A"/>
    <w:rsid w:val="00371177"/>
    <w:rsid w:val="00374C88"/>
    <w:rsid w:val="00375F7B"/>
    <w:rsid w:val="00385433"/>
    <w:rsid w:val="003876D5"/>
    <w:rsid w:val="003A0371"/>
    <w:rsid w:val="003A09B8"/>
    <w:rsid w:val="003A15C9"/>
    <w:rsid w:val="003A16BA"/>
    <w:rsid w:val="003A39CC"/>
    <w:rsid w:val="003B15B3"/>
    <w:rsid w:val="003B6611"/>
    <w:rsid w:val="003C115C"/>
    <w:rsid w:val="003C67F3"/>
    <w:rsid w:val="003D7845"/>
    <w:rsid w:val="003E2EDF"/>
    <w:rsid w:val="003E54F3"/>
    <w:rsid w:val="003E6942"/>
    <w:rsid w:val="00403EEE"/>
    <w:rsid w:val="00404988"/>
    <w:rsid w:val="00410DB8"/>
    <w:rsid w:val="00416804"/>
    <w:rsid w:val="004219C2"/>
    <w:rsid w:val="004318C8"/>
    <w:rsid w:val="004409E4"/>
    <w:rsid w:val="00453E4B"/>
    <w:rsid w:val="00454612"/>
    <w:rsid w:val="00456115"/>
    <w:rsid w:val="00462732"/>
    <w:rsid w:val="004665B7"/>
    <w:rsid w:val="004667A8"/>
    <w:rsid w:val="00466A36"/>
    <w:rsid w:val="00473565"/>
    <w:rsid w:val="00473CC5"/>
    <w:rsid w:val="0047534A"/>
    <w:rsid w:val="00483B5B"/>
    <w:rsid w:val="00484214"/>
    <w:rsid w:val="00494688"/>
    <w:rsid w:val="00495852"/>
    <w:rsid w:val="004A090D"/>
    <w:rsid w:val="004A58E9"/>
    <w:rsid w:val="004B200B"/>
    <w:rsid w:val="004B3418"/>
    <w:rsid w:val="004C05C8"/>
    <w:rsid w:val="004C74B2"/>
    <w:rsid w:val="004E32B5"/>
    <w:rsid w:val="004F5317"/>
    <w:rsid w:val="004F6116"/>
    <w:rsid w:val="0052042D"/>
    <w:rsid w:val="005310F1"/>
    <w:rsid w:val="0053219C"/>
    <w:rsid w:val="00535397"/>
    <w:rsid w:val="00537E6A"/>
    <w:rsid w:val="0054308A"/>
    <w:rsid w:val="0055105E"/>
    <w:rsid w:val="00551311"/>
    <w:rsid w:val="00554707"/>
    <w:rsid w:val="0056099C"/>
    <w:rsid w:val="00564316"/>
    <w:rsid w:val="005732F8"/>
    <w:rsid w:val="00575CA1"/>
    <w:rsid w:val="0059593C"/>
    <w:rsid w:val="005A0CE9"/>
    <w:rsid w:val="005A0D0A"/>
    <w:rsid w:val="005A4372"/>
    <w:rsid w:val="005A4B25"/>
    <w:rsid w:val="005A4EC5"/>
    <w:rsid w:val="005A53D1"/>
    <w:rsid w:val="005A5C83"/>
    <w:rsid w:val="005B0C13"/>
    <w:rsid w:val="005B18EE"/>
    <w:rsid w:val="005C382A"/>
    <w:rsid w:val="005D7AD3"/>
    <w:rsid w:val="005E42FF"/>
    <w:rsid w:val="005F1873"/>
    <w:rsid w:val="005F555A"/>
    <w:rsid w:val="005F655F"/>
    <w:rsid w:val="006006E6"/>
    <w:rsid w:val="0060194D"/>
    <w:rsid w:val="006064AB"/>
    <w:rsid w:val="00611159"/>
    <w:rsid w:val="00615274"/>
    <w:rsid w:val="00616B4A"/>
    <w:rsid w:val="00625CCA"/>
    <w:rsid w:val="00625DDA"/>
    <w:rsid w:val="006330C7"/>
    <w:rsid w:val="006344FB"/>
    <w:rsid w:val="006411B3"/>
    <w:rsid w:val="00642A46"/>
    <w:rsid w:val="00643041"/>
    <w:rsid w:val="006477F4"/>
    <w:rsid w:val="00662FA8"/>
    <w:rsid w:val="00663808"/>
    <w:rsid w:val="00664BF7"/>
    <w:rsid w:val="0067051E"/>
    <w:rsid w:val="00671F99"/>
    <w:rsid w:val="006724FE"/>
    <w:rsid w:val="00675DBA"/>
    <w:rsid w:val="006776E8"/>
    <w:rsid w:val="00680066"/>
    <w:rsid w:val="006851BF"/>
    <w:rsid w:val="00693793"/>
    <w:rsid w:val="00697B0F"/>
    <w:rsid w:val="006A23CE"/>
    <w:rsid w:val="006A6C9C"/>
    <w:rsid w:val="006A76EF"/>
    <w:rsid w:val="006B14A5"/>
    <w:rsid w:val="006B52FB"/>
    <w:rsid w:val="006B57A1"/>
    <w:rsid w:val="006C1307"/>
    <w:rsid w:val="006C4735"/>
    <w:rsid w:val="006C72BA"/>
    <w:rsid w:val="006D00D8"/>
    <w:rsid w:val="006D023D"/>
    <w:rsid w:val="006D0B5D"/>
    <w:rsid w:val="006D148D"/>
    <w:rsid w:val="006E7147"/>
    <w:rsid w:val="006F1F95"/>
    <w:rsid w:val="006F253E"/>
    <w:rsid w:val="006F3A4E"/>
    <w:rsid w:val="006F63FE"/>
    <w:rsid w:val="00701D88"/>
    <w:rsid w:val="00703268"/>
    <w:rsid w:val="0071072D"/>
    <w:rsid w:val="00733D8D"/>
    <w:rsid w:val="00734128"/>
    <w:rsid w:val="00734277"/>
    <w:rsid w:val="007405E7"/>
    <w:rsid w:val="00755446"/>
    <w:rsid w:val="0076252A"/>
    <w:rsid w:val="007663C8"/>
    <w:rsid w:val="00790473"/>
    <w:rsid w:val="00792468"/>
    <w:rsid w:val="00793F90"/>
    <w:rsid w:val="007969D7"/>
    <w:rsid w:val="007A0F22"/>
    <w:rsid w:val="007A335A"/>
    <w:rsid w:val="007A57DB"/>
    <w:rsid w:val="007A631B"/>
    <w:rsid w:val="007B53D7"/>
    <w:rsid w:val="007B6F19"/>
    <w:rsid w:val="007B7B4D"/>
    <w:rsid w:val="007C526F"/>
    <w:rsid w:val="007D0B95"/>
    <w:rsid w:val="007D1C13"/>
    <w:rsid w:val="007D2A74"/>
    <w:rsid w:val="007D3F61"/>
    <w:rsid w:val="007E1C2F"/>
    <w:rsid w:val="007E2A23"/>
    <w:rsid w:val="007E586A"/>
    <w:rsid w:val="008020EF"/>
    <w:rsid w:val="008044FD"/>
    <w:rsid w:val="00807127"/>
    <w:rsid w:val="00814A92"/>
    <w:rsid w:val="008237C8"/>
    <w:rsid w:val="0082692E"/>
    <w:rsid w:val="00832B44"/>
    <w:rsid w:val="008336DE"/>
    <w:rsid w:val="00845682"/>
    <w:rsid w:val="00846301"/>
    <w:rsid w:val="00846339"/>
    <w:rsid w:val="00846D8C"/>
    <w:rsid w:val="00851712"/>
    <w:rsid w:val="0086004A"/>
    <w:rsid w:val="00863B5A"/>
    <w:rsid w:val="00865C16"/>
    <w:rsid w:val="00867434"/>
    <w:rsid w:val="00876931"/>
    <w:rsid w:val="00883022"/>
    <w:rsid w:val="0088350E"/>
    <w:rsid w:val="008850E3"/>
    <w:rsid w:val="00885B4C"/>
    <w:rsid w:val="00893409"/>
    <w:rsid w:val="008B1869"/>
    <w:rsid w:val="008B70E4"/>
    <w:rsid w:val="008C572B"/>
    <w:rsid w:val="008C5A15"/>
    <w:rsid w:val="008D4D28"/>
    <w:rsid w:val="008D51B7"/>
    <w:rsid w:val="008E371D"/>
    <w:rsid w:val="008E597F"/>
    <w:rsid w:val="008F110B"/>
    <w:rsid w:val="008F2B16"/>
    <w:rsid w:val="00900236"/>
    <w:rsid w:val="00901CC0"/>
    <w:rsid w:val="00905877"/>
    <w:rsid w:val="00911F40"/>
    <w:rsid w:val="00912387"/>
    <w:rsid w:val="009169E9"/>
    <w:rsid w:val="00916FB6"/>
    <w:rsid w:val="009245B1"/>
    <w:rsid w:val="009246EE"/>
    <w:rsid w:val="0092546C"/>
    <w:rsid w:val="009266F9"/>
    <w:rsid w:val="00936CAB"/>
    <w:rsid w:val="00941598"/>
    <w:rsid w:val="00941D66"/>
    <w:rsid w:val="009440A4"/>
    <w:rsid w:val="0094465F"/>
    <w:rsid w:val="00946400"/>
    <w:rsid w:val="00951C4C"/>
    <w:rsid w:val="00951E73"/>
    <w:rsid w:val="00964D74"/>
    <w:rsid w:val="009679E4"/>
    <w:rsid w:val="00980702"/>
    <w:rsid w:val="0098436E"/>
    <w:rsid w:val="0098499C"/>
    <w:rsid w:val="00991A1C"/>
    <w:rsid w:val="00995A9E"/>
    <w:rsid w:val="009A629C"/>
    <w:rsid w:val="009B51BF"/>
    <w:rsid w:val="009D0457"/>
    <w:rsid w:val="009D24AB"/>
    <w:rsid w:val="009D36D3"/>
    <w:rsid w:val="009D39DE"/>
    <w:rsid w:val="009D4B15"/>
    <w:rsid w:val="009D4EDC"/>
    <w:rsid w:val="009D5F11"/>
    <w:rsid w:val="009E15FE"/>
    <w:rsid w:val="009E3A8F"/>
    <w:rsid w:val="009E45D2"/>
    <w:rsid w:val="009F74CB"/>
    <w:rsid w:val="009F7B73"/>
    <w:rsid w:val="00A0148B"/>
    <w:rsid w:val="00A01B63"/>
    <w:rsid w:val="00A02724"/>
    <w:rsid w:val="00A03944"/>
    <w:rsid w:val="00A06223"/>
    <w:rsid w:val="00A114A6"/>
    <w:rsid w:val="00A218A3"/>
    <w:rsid w:val="00A2447C"/>
    <w:rsid w:val="00A32F50"/>
    <w:rsid w:val="00A34173"/>
    <w:rsid w:val="00A34317"/>
    <w:rsid w:val="00A36234"/>
    <w:rsid w:val="00A447E4"/>
    <w:rsid w:val="00A46D95"/>
    <w:rsid w:val="00A54C8C"/>
    <w:rsid w:val="00A6032A"/>
    <w:rsid w:val="00A6532C"/>
    <w:rsid w:val="00A66D55"/>
    <w:rsid w:val="00A729EC"/>
    <w:rsid w:val="00A757CD"/>
    <w:rsid w:val="00A764CD"/>
    <w:rsid w:val="00A81EEF"/>
    <w:rsid w:val="00A8330B"/>
    <w:rsid w:val="00A84EF7"/>
    <w:rsid w:val="00A856F0"/>
    <w:rsid w:val="00A9358C"/>
    <w:rsid w:val="00A97420"/>
    <w:rsid w:val="00A977E0"/>
    <w:rsid w:val="00AA68D4"/>
    <w:rsid w:val="00AB4786"/>
    <w:rsid w:val="00AB645B"/>
    <w:rsid w:val="00AD1724"/>
    <w:rsid w:val="00AD3E02"/>
    <w:rsid w:val="00AD7BB2"/>
    <w:rsid w:val="00AE0127"/>
    <w:rsid w:val="00AE1C54"/>
    <w:rsid w:val="00AE4524"/>
    <w:rsid w:val="00AE4AE5"/>
    <w:rsid w:val="00AF4A4F"/>
    <w:rsid w:val="00B03273"/>
    <w:rsid w:val="00B16F3E"/>
    <w:rsid w:val="00B24425"/>
    <w:rsid w:val="00B244E3"/>
    <w:rsid w:val="00B26B6C"/>
    <w:rsid w:val="00B34E13"/>
    <w:rsid w:val="00B402FE"/>
    <w:rsid w:val="00B53D88"/>
    <w:rsid w:val="00B62104"/>
    <w:rsid w:val="00B62856"/>
    <w:rsid w:val="00B62F45"/>
    <w:rsid w:val="00B658DC"/>
    <w:rsid w:val="00B711A2"/>
    <w:rsid w:val="00B72F89"/>
    <w:rsid w:val="00B769A0"/>
    <w:rsid w:val="00B76E57"/>
    <w:rsid w:val="00B841FD"/>
    <w:rsid w:val="00B844E5"/>
    <w:rsid w:val="00B90D5B"/>
    <w:rsid w:val="00B9642D"/>
    <w:rsid w:val="00B96B78"/>
    <w:rsid w:val="00B971B9"/>
    <w:rsid w:val="00BA5FD6"/>
    <w:rsid w:val="00BA6E7D"/>
    <w:rsid w:val="00BB0439"/>
    <w:rsid w:val="00BB40A8"/>
    <w:rsid w:val="00BD018D"/>
    <w:rsid w:val="00BD7BD4"/>
    <w:rsid w:val="00BE2870"/>
    <w:rsid w:val="00BE3299"/>
    <w:rsid w:val="00BE4E18"/>
    <w:rsid w:val="00BE53CE"/>
    <w:rsid w:val="00BE727A"/>
    <w:rsid w:val="00BE7CCE"/>
    <w:rsid w:val="00BF1EC2"/>
    <w:rsid w:val="00BF340B"/>
    <w:rsid w:val="00C01636"/>
    <w:rsid w:val="00C04A26"/>
    <w:rsid w:val="00C04C3F"/>
    <w:rsid w:val="00C071F8"/>
    <w:rsid w:val="00C2035A"/>
    <w:rsid w:val="00C3003A"/>
    <w:rsid w:val="00C31BBC"/>
    <w:rsid w:val="00C41576"/>
    <w:rsid w:val="00C450D4"/>
    <w:rsid w:val="00C45929"/>
    <w:rsid w:val="00C52984"/>
    <w:rsid w:val="00C574AE"/>
    <w:rsid w:val="00C57D7F"/>
    <w:rsid w:val="00C64AF0"/>
    <w:rsid w:val="00C6626E"/>
    <w:rsid w:val="00C67EB9"/>
    <w:rsid w:val="00C73181"/>
    <w:rsid w:val="00C735A1"/>
    <w:rsid w:val="00C737E2"/>
    <w:rsid w:val="00C80456"/>
    <w:rsid w:val="00C81EF3"/>
    <w:rsid w:val="00C910F0"/>
    <w:rsid w:val="00CA348E"/>
    <w:rsid w:val="00CA44CE"/>
    <w:rsid w:val="00CA4E8E"/>
    <w:rsid w:val="00CB1860"/>
    <w:rsid w:val="00CB479E"/>
    <w:rsid w:val="00CB522F"/>
    <w:rsid w:val="00CC2C55"/>
    <w:rsid w:val="00CC405A"/>
    <w:rsid w:val="00CD2561"/>
    <w:rsid w:val="00CD4A70"/>
    <w:rsid w:val="00CD753B"/>
    <w:rsid w:val="00CE58CA"/>
    <w:rsid w:val="00CF20A6"/>
    <w:rsid w:val="00CF271C"/>
    <w:rsid w:val="00CF347F"/>
    <w:rsid w:val="00CF395E"/>
    <w:rsid w:val="00CF52BC"/>
    <w:rsid w:val="00CF579E"/>
    <w:rsid w:val="00CF7B52"/>
    <w:rsid w:val="00D00012"/>
    <w:rsid w:val="00D0050C"/>
    <w:rsid w:val="00D04D5B"/>
    <w:rsid w:val="00D115E7"/>
    <w:rsid w:val="00D1357B"/>
    <w:rsid w:val="00D16ED7"/>
    <w:rsid w:val="00D3211A"/>
    <w:rsid w:val="00D3222D"/>
    <w:rsid w:val="00D45509"/>
    <w:rsid w:val="00D50C40"/>
    <w:rsid w:val="00D54210"/>
    <w:rsid w:val="00D70EB2"/>
    <w:rsid w:val="00D72229"/>
    <w:rsid w:val="00D723D5"/>
    <w:rsid w:val="00D74A65"/>
    <w:rsid w:val="00D7667F"/>
    <w:rsid w:val="00D81925"/>
    <w:rsid w:val="00D82F78"/>
    <w:rsid w:val="00D83FC2"/>
    <w:rsid w:val="00D90B4E"/>
    <w:rsid w:val="00D92BAE"/>
    <w:rsid w:val="00DA2384"/>
    <w:rsid w:val="00DB37E5"/>
    <w:rsid w:val="00DB5382"/>
    <w:rsid w:val="00DB5E42"/>
    <w:rsid w:val="00DC05A8"/>
    <w:rsid w:val="00DC0AC0"/>
    <w:rsid w:val="00DD6596"/>
    <w:rsid w:val="00DD671D"/>
    <w:rsid w:val="00DE0BED"/>
    <w:rsid w:val="00DE185E"/>
    <w:rsid w:val="00DE5229"/>
    <w:rsid w:val="00DE5CC9"/>
    <w:rsid w:val="00DF09F3"/>
    <w:rsid w:val="00DF26FA"/>
    <w:rsid w:val="00DF416F"/>
    <w:rsid w:val="00DF637D"/>
    <w:rsid w:val="00E1284E"/>
    <w:rsid w:val="00E239E1"/>
    <w:rsid w:val="00E24C9E"/>
    <w:rsid w:val="00E2504C"/>
    <w:rsid w:val="00E26D6F"/>
    <w:rsid w:val="00E27D64"/>
    <w:rsid w:val="00E27FE4"/>
    <w:rsid w:val="00E3142B"/>
    <w:rsid w:val="00E33AC8"/>
    <w:rsid w:val="00E3419E"/>
    <w:rsid w:val="00E402F3"/>
    <w:rsid w:val="00E52FDA"/>
    <w:rsid w:val="00E5521B"/>
    <w:rsid w:val="00E61AF0"/>
    <w:rsid w:val="00E702FD"/>
    <w:rsid w:val="00E7276C"/>
    <w:rsid w:val="00E72942"/>
    <w:rsid w:val="00E72F52"/>
    <w:rsid w:val="00E73B61"/>
    <w:rsid w:val="00E7537D"/>
    <w:rsid w:val="00E76606"/>
    <w:rsid w:val="00E775E0"/>
    <w:rsid w:val="00E86651"/>
    <w:rsid w:val="00E97542"/>
    <w:rsid w:val="00E97A56"/>
    <w:rsid w:val="00EA39B5"/>
    <w:rsid w:val="00EA3DE6"/>
    <w:rsid w:val="00EA4B20"/>
    <w:rsid w:val="00EA4E01"/>
    <w:rsid w:val="00EB634A"/>
    <w:rsid w:val="00EC005E"/>
    <w:rsid w:val="00EC5C86"/>
    <w:rsid w:val="00ED5236"/>
    <w:rsid w:val="00ED5929"/>
    <w:rsid w:val="00F133EF"/>
    <w:rsid w:val="00F20AED"/>
    <w:rsid w:val="00F2591B"/>
    <w:rsid w:val="00F300A1"/>
    <w:rsid w:val="00F30CE2"/>
    <w:rsid w:val="00F3556C"/>
    <w:rsid w:val="00F44FCA"/>
    <w:rsid w:val="00F508AA"/>
    <w:rsid w:val="00F50ABE"/>
    <w:rsid w:val="00F54833"/>
    <w:rsid w:val="00F54DEB"/>
    <w:rsid w:val="00F61AD9"/>
    <w:rsid w:val="00F66AB7"/>
    <w:rsid w:val="00F82A46"/>
    <w:rsid w:val="00F92B43"/>
    <w:rsid w:val="00F97DC2"/>
    <w:rsid w:val="00FA0FA4"/>
    <w:rsid w:val="00FA5D68"/>
    <w:rsid w:val="00FB449C"/>
    <w:rsid w:val="00FE1E1B"/>
    <w:rsid w:val="00FE210A"/>
    <w:rsid w:val="00FE40B9"/>
    <w:rsid w:val="00FE76ED"/>
    <w:rsid w:val="00FE7FC0"/>
    <w:rsid w:val="00FF421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65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80"/>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C7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A74"/>
    <w:pPr>
      <w:keepNext/>
      <w:keepLines/>
      <w:outlineLvl w:val="1"/>
    </w:pPr>
    <w:rPr>
      <w:rFonts w:ascii="Arial" w:eastAsiaTheme="majorEastAsia" w:hAnsi="Arial" w:cstheme="majorBidi"/>
      <w:b/>
      <w:bCs/>
      <w:sz w:val="28"/>
      <w:szCs w:val="26"/>
    </w:rPr>
  </w:style>
  <w:style w:type="paragraph" w:styleId="Heading3">
    <w:name w:val="heading 3"/>
    <w:link w:val="Heading3Char"/>
    <w:rsid w:val="00B72F89"/>
    <w:pPr>
      <w:pBdr>
        <w:top w:val="nil"/>
        <w:left w:val="nil"/>
        <w:bottom w:val="nil"/>
        <w:right w:val="nil"/>
        <w:between w:val="nil"/>
        <w:bar w:val="nil"/>
      </w:pBdr>
      <w:jc w:val="both"/>
      <w:outlineLvl w:val="2"/>
    </w:pPr>
    <w:rPr>
      <w:rFonts w:ascii="Helvetica" w:eastAsia="Arial Unicode MS" w:hAnsi="Helvetica" w:cs="Arial Unicode MS"/>
      <w:b/>
      <w:bCs/>
      <w:color w:val="000000"/>
      <w:sz w:val="24"/>
      <w:szCs w:val="24"/>
      <w:bdr w:val="nil"/>
      <w:lang w:val="en-US"/>
    </w:rPr>
  </w:style>
  <w:style w:type="paragraph" w:styleId="Heading4">
    <w:name w:val="heading 4"/>
    <w:basedOn w:val="Normal"/>
    <w:next w:val="Normal"/>
    <w:link w:val="Heading4Char"/>
    <w:uiPriority w:val="9"/>
    <w:semiHidden/>
    <w:unhideWhenUsed/>
    <w:qFormat/>
    <w:rsid w:val="004C74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link w:val="ListParagraphChar"/>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0F2FF3"/>
    <w:rPr>
      <w:sz w:val="16"/>
      <w:szCs w:val="16"/>
    </w:rPr>
  </w:style>
  <w:style w:type="paragraph" w:styleId="CommentText">
    <w:name w:val="annotation text"/>
    <w:basedOn w:val="Normal"/>
    <w:link w:val="CommentTextChar"/>
    <w:uiPriority w:val="99"/>
    <w:unhideWhenUsed/>
    <w:rsid w:val="000F2FF3"/>
    <w:rPr>
      <w:sz w:val="20"/>
    </w:rPr>
  </w:style>
  <w:style w:type="character" w:customStyle="1" w:styleId="CommentTextChar">
    <w:name w:val="Comment Text Char"/>
    <w:basedOn w:val="DefaultParagraphFont"/>
    <w:link w:val="CommentText"/>
    <w:uiPriority w:val="99"/>
    <w:rsid w:val="000F2FF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F2FF3"/>
    <w:rPr>
      <w:b/>
      <w:bCs/>
    </w:rPr>
  </w:style>
  <w:style w:type="character" w:customStyle="1" w:styleId="CommentSubjectChar">
    <w:name w:val="Comment Subject Char"/>
    <w:basedOn w:val="CommentTextChar"/>
    <w:link w:val="CommentSubject"/>
    <w:uiPriority w:val="99"/>
    <w:semiHidden/>
    <w:rsid w:val="000F2FF3"/>
    <w:rPr>
      <w:rFonts w:ascii="Times New Roman" w:eastAsia="Times New Roman" w:hAnsi="Times New Roman"/>
      <w:b/>
      <w:bCs/>
      <w:lang w:eastAsia="en-US"/>
    </w:rPr>
  </w:style>
  <w:style w:type="paragraph" w:customStyle="1" w:styleId="Body">
    <w:name w:val="Body"/>
    <w:rsid w:val="002C6607"/>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Heading3Char">
    <w:name w:val="Heading 3 Char"/>
    <w:basedOn w:val="DefaultParagraphFont"/>
    <w:link w:val="Heading3"/>
    <w:rsid w:val="00B72F89"/>
    <w:rPr>
      <w:rFonts w:ascii="Helvetica" w:eastAsia="Arial Unicode MS" w:hAnsi="Helvetica" w:cs="Arial Unicode MS"/>
      <w:b/>
      <w:bCs/>
      <w:color w:val="000000"/>
      <w:sz w:val="24"/>
      <w:szCs w:val="24"/>
      <w:bdr w:val="nil"/>
      <w:lang w:val="en-US"/>
    </w:rPr>
  </w:style>
  <w:style w:type="character" w:customStyle="1" w:styleId="ListParagraphChar">
    <w:name w:val="List Paragraph Char"/>
    <w:basedOn w:val="DefaultParagraphFont"/>
    <w:link w:val="ListParagraph"/>
    <w:uiPriority w:val="34"/>
    <w:rsid w:val="00733D8D"/>
    <w:rPr>
      <w:rFonts w:ascii="Calibri" w:eastAsia="Calibri" w:hAnsi="Calibri"/>
      <w:sz w:val="22"/>
      <w:szCs w:val="22"/>
      <w:lang w:eastAsia="en-US"/>
    </w:rPr>
  </w:style>
  <w:style w:type="paragraph" w:styleId="Title">
    <w:name w:val="Title"/>
    <w:basedOn w:val="Normal"/>
    <w:link w:val="TitleChar"/>
    <w:qFormat/>
    <w:rsid w:val="00733D8D"/>
    <w:pPr>
      <w:jc w:val="center"/>
    </w:pPr>
    <w:rPr>
      <w:rFonts w:ascii="Arial" w:hAnsi="Arial"/>
      <w:b/>
      <w:u w:val="single"/>
      <w:lang w:val="en-US" w:eastAsia="en-GB"/>
    </w:rPr>
  </w:style>
  <w:style w:type="character" w:customStyle="1" w:styleId="TitleChar">
    <w:name w:val="Title Char"/>
    <w:basedOn w:val="DefaultParagraphFont"/>
    <w:link w:val="Title"/>
    <w:rsid w:val="00733D8D"/>
    <w:rPr>
      <w:rFonts w:ascii="Arial" w:eastAsia="Times New Roman" w:hAnsi="Arial"/>
      <w:b/>
      <w:sz w:val="24"/>
      <w:u w:val="single"/>
      <w:lang w:val="en-US"/>
    </w:rPr>
  </w:style>
  <w:style w:type="table" w:customStyle="1" w:styleId="TableGrid1">
    <w:name w:val="Table Grid1"/>
    <w:basedOn w:val="TableNormal"/>
    <w:next w:val="TableGrid"/>
    <w:uiPriority w:val="59"/>
    <w:rsid w:val="00A027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74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D2A74"/>
    <w:rPr>
      <w:rFonts w:ascii="Arial" w:eastAsiaTheme="majorEastAsia" w:hAnsi="Arial" w:cstheme="majorBidi"/>
      <w:b/>
      <w:bCs/>
      <w:sz w:val="28"/>
      <w:szCs w:val="26"/>
      <w:lang w:eastAsia="en-US"/>
    </w:rPr>
  </w:style>
  <w:style w:type="character" w:customStyle="1" w:styleId="Heading4Char">
    <w:name w:val="Heading 4 Char"/>
    <w:basedOn w:val="DefaultParagraphFont"/>
    <w:link w:val="Heading4"/>
    <w:uiPriority w:val="9"/>
    <w:semiHidden/>
    <w:rsid w:val="004C74B2"/>
    <w:rPr>
      <w:rFonts w:asciiTheme="majorHAnsi" w:eastAsiaTheme="majorEastAsia" w:hAnsiTheme="majorHAnsi" w:cstheme="majorBidi"/>
      <w:b/>
      <w:bCs/>
      <w:i/>
      <w:iCs/>
      <w:color w:val="4F81BD" w:themeColor="accent1"/>
      <w:sz w:val="24"/>
      <w:lang w:eastAsia="en-US"/>
    </w:rPr>
  </w:style>
  <w:style w:type="character" w:styleId="FollowedHyperlink">
    <w:name w:val="FollowedHyperlink"/>
    <w:basedOn w:val="DefaultParagraphFont"/>
    <w:uiPriority w:val="99"/>
    <w:semiHidden/>
    <w:unhideWhenUsed/>
    <w:rsid w:val="004C74B2"/>
    <w:rPr>
      <w:color w:val="800080" w:themeColor="followedHyperlink"/>
      <w:u w:val="single"/>
    </w:rPr>
  </w:style>
  <w:style w:type="paragraph" w:styleId="FootnoteText">
    <w:name w:val="footnote text"/>
    <w:basedOn w:val="Normal"/>
    <w:link w:val="FootnoteTextChar"/>
    <w:uiPriority w:val="99"/>
    <w:semiHidden/>
    <w:unhideWhenUsed/>
    <w:rsid w:val="006477F4"/>
    <w:rPr>
      <w:rFonts w:ascii="Ebrima" w:eastAsiaTheme="minorHAnsi" w:hAnsi="Ebrima" w:cstheme="minorBidi"/>
      <w:sz w:val="20"/>
    </w:rPr>
  </w:style>
  <w:style w:type="character" w:customStyle="1" w:styleId="FootnoteTextChar">
    <w:name w:val="Footnote Text Char"/>
    <w:basedOn w:val="DefaultParagraphFont"/>
    <w:link w:val="FootnoteText"/>
    <w:uiPriority w:val="99"/>
    <w:semiHidden/>
    <w:rsid w:val="006477F4"/>
    <w:rPr>
      <w:rFonts w:ascii="Ebrima" w:eastAsiaTheme="minorHAnsi" w:hAnsi="Ebrima" w:cstheme="minorBidi"/>
      <w:lang w:eastAsia="en-US"/>
    </w:rPr>
  </w:style>
  <w:style w:type="character" w:styleId="FootnoteReference">
    <w:name w:val="footnote reference"/>
    <w:basedOn w:val="DefaultParagraphFont"/>
    <w:uiPriority w:val="99"/>
    <w:unhideWhenUsed/>
    <w:rsid w:val="006477F4"/>
    <w:rPr>
      <w:vertAlign w:val="superscript"/>
    </w:rPr>
  </w:style>
  <w:style w:type="paragraph" w:styleId="Caption">
    <w:name w:val="caption"/>
    <w:basedOn w:val="Normal"/>
    <w:next w:val="Normal"/>
    <w:uiPriority w:val="35"/>
    <w:unhideWhenUsed/>
    <w:qFormat/>
    <w:rsid w:val="006477F4"/>
    <w:pPr>
      <w:spacing w:after="200"/>
    </w:pPr>
    <w:rPr>
      <w:rFonts w:ascii="Ebrima" w:eastAsiaTheme="minorHAnsi" w:hAnsi="Ebrima" w:cstheme="minorBidi"/>
      <w:b/>
      <w:iCs/>
      <w:color w:val="1F497D" w:themeColor="text2"/>
      <w:sz w:val="18"/>
      <w:szCs w:val="18"/>
    </w:rPr>
  </w:style>
  <w:style w:type="table" w:customStyle="1" w:styleId="TableGrid11">
    <w:name w:val="Table Grid11"/>
    <w:basedOn w:val="TableNormal"/>
    <w:next w:val="TableGrid"/>
    <w:uiPriority w:val="59"/>
    <w:rsid w:val="00BA6E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0066"/>
  </w:style>
  <w:style w:type="numbering" w:customStyle="1" w:styleId="BulletBig">
    <w:name w:val="Bullet Big"/>
    <w:rsid w:val="00680066"/>
    <w:pPr>
      <w:numPr>
        <w:numId w:val="1"/>
      </w:numPr>
    </w:pPr>
  </w:style>
  <w:style w:type="paragraph" w:styleId="BodyText">
    <w:name w:val="Body Text"/>
    <w:basedOn w:val="Normal"/>
    <w:link w:val="BodyTextChar"/>
    <w:rsid w:val="002F4581"/>
    <w:pPr>
      <w:jc w:val="both"/>
    </w:pPr>
    <w:rPr>
      <w:rFonts w:ascii="Arial" w:hAnsi="Arial"/>
      <w:snapToGrid w:val="0"/>
    </w:rPr>
  </w:style>
  <w:style w:type="character" w:customStyle="1" w:styleId="BodyTextChar">
    <w:name w:val="Body Text Char"/>
    <w:basedOn w:val="DefaultParagraphFont"/>
    <w:link w:val="BodyText"/>
    <w:rsid w:val="002F4581"/>
    <w:rPr>
      <w:rFonts w:ascii="Arial" w:eastAsia="Times New Roman" w:hAnsi="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75849177">
      <w:bodyDiv w:val="1"/>
      <w:marLeft w:val="0"/>
      <w:marRight w:val="0"/>
      <w:marTop w:val="0"/>
      <w:marBottom w:val="0"/>
      <w:divBdr>
        <w:top w:val="none" w:sz="0" w:space="0" w:color="auto"/>
        <w:left w:val="none" w:sz="0" w:space="0" w:color="auto"/>
        <w:bottom w:val="none" w:sz="0" w:space="0" w:color="auto"/>
        <w:right w:val="none" w:sz="0" w:space="0" w:color="auto"/>
      </w:divBdr>
      <w:divsChild>
        <w:div w:id="524058159">
          <w:marLeft w:val="360"/>
          <w:marRight w:val="0"/>
          <w:marTop w:val="200"/>
          <w:marBottom w:val="0"/>
          <w:divBdr>
            <w:top w:val="none" w:sz="0" w:space="0" w:color="auto"/>
            <w:left w:val="none" w:sz="0" w:space="0" w:color="auto"/>
            <w:bottom w:val="none" w:sz="0" w:space="0" w:color="auto"/>
            <w:right w:val="none" w:sz="0" w:space="0" w:color="auto"/>
          </w:divBdr>
        </w:div>
      </w:divsChild>
    </w:div>
    <w:div w:id="371460176">
      <w:bodyDiv w:val="1"/>
      <w:marLeft w:val="0"/>
      <w:marRight w:val="0"/>
      <w:marTop w:val="0"/>
      <w:marBottom w:val="0"/>
      <w:divBdr>
        <w:top w:val="none" w:sz="0" w:space="0" w:color="auto"/>
        <w:left w:val="none" w:sz="0" w:space="0" w:color="auto"/>
        <w:bottom w:val="none" w:sz="0" w:space="0" w:color="auto"/>
        <w:right w:val="none" w:sz="0" w:space="0" w:color="auto"/>
      </w:divBdr>
      <w:divsChild>
        <w:div w:id="256519408">
          <w:marLeft w:val="360"/>
          <w:marRight w:val="0"/>
          <w:marTop w:val="200"/>
          <w:marBottom w:val="0"/>
          <w:divBdr>
            <w:top w:val="none" w:sz="0" w:space="0" w:color="auto"/>
            <w:left w:val="none" w:sz="0" w:space="0" w:color="auto"/>
            <w:bottom w:val="none" w:sz="0" w:space="0" w:color="auto"/>
            <w:right w:val="none" w:sz="0" w:space="0" w:color="auto"/>
          </w:divBdr>
        </w:div>
        <w:div w:id="836463407">
          <w:marLeft w:val="360"/>
          <w:marRight w:val="0"/>
          <w:marTop w:val="200"/>
          <w:marBottom w:val="0"/>
          <w:divBdr>
            <w:top w:val="none" w:sz="0" w:space="0" w:color="auto"/>
            <w:left w:val="none" w:sz="0" w:space="0" w:color="auto"/>
            <w:bottom w:val="none" w:sz="0" w:space="0" w:color="auto"/>
            <w:right w:val="none" w:sz="0" w:space="0" w:color="auto"/>
          </w:divBdr>
        </w:div>
        <w:div w:id="1029456694">
          <w:marLeft w:val="360"/>
          <w:marRight w:val="0"/>
          <w:marTop w:val="200"/>
          <w:marBottom w:val="0"/>
          <w:divBdr>
            <w:top w:val="none" w:sz="0" w:space="0" w:color="auto"/>
            <w:left w:val="none" w:sz="0" w:space="0" w:color="auto"/>
            <w:bottom w:val="none" w:sz="0" w:space="0" w:color="auto"/>
            <w:right w:val="none" w:sz="0" w:space="0" w:color="auto"/>
          </w:divBdr>
        </w:div>
        <w:div w:id="65104738">
          <w:marLeft w:val="1080"/>
          <w:marRight w:val="0"/>
          <w:marTop w:val="100"/>
          <w:marBottom w:val="0"/>
          <w:divBdr>
            <w:top w:val="none" w:sz="0" w:space="0" w:color="auto"/>
            <w:left w:val="none" w:sz="0" w:space="0" w:color="auto"/>
            <w:bottom w:val="none" w:sz="0" w:space="0" w:color="auto"/>
            <w:right w:val="none" w:sz="0" w:space="0" w:color="auto"/>
          </w:divBdr>
        </w:div>
        <w:div w:id="382412981">
          <w:marLeft w:val="1080"/>
          <w:marRight w:val="0"/>
          <w:marTop w:val="100"/>
          <w:marBottom w:val="0"/>
          <w:divBdr>
            <w:top w:val="none" w:sz="0" w:space="0" w:color="auto"/>
            <w:left w:val="none" w:sz="0" w:space="0" w:color="auto"/>
            <w:bottom w:val="none" w:sz="0" w:space="0" w:color="auto"/>
            <w:right w:val="none" w:sz="0" w:space="0" w:color="auto"/>
          </w:divBdr>
        </w:div>
        <w:div w:id="708996279">
          <w:marLeft w:val="1080"/>
          <w:marRight w:val="0"/>
          <w:marTop w:val="100"/>
          <w:marBottom w:val="0"/>
          <w:divBdr>
            <w:top w:val="none" w:sz="0" w:space="0" w:color="auto"/>
            <w:left w:val="none" w:sz="0" w:space="0" w:color="auto"/>
            <w:bottom w:val="none" w:sz="0" w:space="0" w:color="auto"/>
            <w:right w:val="none" w:sz="0" w:space="0" w:color="auto"/>
          </w:divBdr>
        </w:div>
        <w:div w:id="392197841">
          <w:marLeft w:val="360"/>
          <w:marRight w:val="0"/>
          <w:marTop w:val="200"/>
          <w:marBottom w:val="0"/>
          <w:divBdr>
            <w:top w:val="none" w:sz="0" w:space="0" w:color="auto"/>
            <w:left w:val="none" w:sz="0" w:space="0" w:color="auto"/>
            <w:bottom w:val="none" w:sz="0" w:space="0" w:color="auto"/>
            <w:right w:val="none" w:sz="0" w:space="0" w:color="auto"/>
          </w:divBdr>
        </w:div>
        <w:div w:id="1932079600">
          <w:marLeft w:val="1080"/>
          <w:marRight w:val="0"/>
          <w:marTop w:val="100"/>
          <w:marBottom w:val="0"/>
          <w:divBdr>
            <w:top w:val="none" w:sz="0" w:space="0" w:color="auto"/>
            <w:left w:val="none" w:sz="0" w:space="0" w:color="auto"/>
            <w:bottom w:val="none" w:sz="0" w:space="0" w:color="auto"/>
            <w:right w:val="none" w:sz="0" w:space="0" w:color="auto"/>
          </w:divBdr>
        </w:div>
        <w:div w:id="793256882">
          <w:marLeft w:val="1080"/>
          <w:marRight w:val="0"/>
          <w:marTop w:val="100"/>
          <w:marBottom w:val="0"/>
          <w:divBdr>
            <w:top w:val="none" w:sz="0" w:space="0" w:color="auto"/>
            <w:left w:val="none" w:sz="0" w:space="0" w:color="auto"/>
            <w:bottom w:val="none" w:sz="0" w:space="0" w:color="auto"/>
            <w:right w:val="none" w:sz="0" w:space="0" w:color="auto"/>
          </w:divBdr>
        </w:div>
        <w:div w:id="377818939">
          <w:marLeft w:val="1080"/>
          <w:marRight w:val="0"/>
          <w:marTop w:val="100"/>
          <w:marBottom w:val="0"/>
          <w:divBdr>
            <w:top w:val="none" w:sz="0" w:space="0" w:color="auto"/>
            <w:left w:val="none" w:sz="0" w:space="0" w:color="auto"/>
            <w:bottom w:val="none" w:sz="0" w:space="0" w:color="auto"/>
            <w:right w:val="none" w:sz="0" w:space="0" w:color="auto"/>
          </w:divBdr>
        </w:div>
        <w:div w:id="1044408212">
          <w:marLeft w:val="1080"/>
          <w:marRight w:val="0"/>
          <w:marTop w:val="100"/>
          <w:marBottom w:val="0"/>
          <w:divBdr>
            <w:top w:val="none" w:sz="0" w:space="0" w:color="auto"/>
            <w:left w:val="none" w:sz="0" w:space="0" w:color="auto"/>
            <w:bottom w:val="none" w:sz="0" w:space="0" w:color="auto"/>
            <w:right w:val="none" w:sz="0" w:space="0" w:color="auto"/>
          </w:divBdr>
        </w:div>
        <w:div w:id="1390349607">
          <w:marLeft w:val="1080"/>
          <w:marRight w:val="0"/>
          <w:marTop w:val="100"/>
          <w:marBottom w:val="0"/>
          <w:divBdr>
            <w:top w:val="none" w:sz="0" w:space="0" w:color="auto"/>
            <w:left w:val="none" w:sz="0" w:space="0" w:color="auto"/>
            <w:bottom w:val="none" w:sz="0" w:space="0" w:color="auto"/>
            <w:right w:val="none" w:sz="0" w:space="0" w:color="auto"/>
          </w:divBdr>
        </w:div>
      </w:divsChild>
    </w:div>
    <w:div w:id="798189316">
      <w:bodyDiv w:val="1"/>
      <w:marLeft w:val="0"/>
      <w:marRight w:val="0"/>
      <w:marTop w:val="0"/>
      <w:marBottom w:val="0"/>
      <w:divBdr>
        <w:top w:val="none" w:sz="0" w:space="0" w:color="auto"/>
        <w:left w:val="none" w:sz="0" w:space="0" w:color="auto"/>
        <w:bottom w:val="none" w:sz="0" w:space="0" w:color="auto"/>
        <w:right w:val="none" w:sz="0" w:space="0" w:color="auto"/>
      </w:divBdr>
    </w:div>
    <w:div w:id="1243684346">
      <w:bodyDiv w:val="1"/>
      <w:marLeft w:val="0"/>
      <w:marRight w:val="0"/>
      <w:marTop w:val="0"/>
      <w:marBottom w:val="0"/>
      <w:divBdr>
        <w:top w:val="none" w:sz="0" w:space="0" w:color="auto"/>
        <w:left w:val="none" w:sz="0" w:space="0" w:color="auto"/>
        <w:bottom w:val="none" w:sz="0" w:space="0" w:color="auto"/>
        <w:right w:val="none" w:sz="0" w:space="0" w:color="auto"/>
      </w:divBdr>
    </w:div>
    <w:div w:id="1444231511">
      <w:bodyDiv w:val="1"/>
      <w:marLeft w:val="0"/>
      <w:marRight w:val="0"/>
      <w:marTop w:val="0"/>
      <w:marBottom w:val="0"/>
      <w:divBdr>
        <w:top w:val="none" w:sz="0" w:space="0" w:color="auto"/>
        <w:left w:val="none" w:sz="0" w:space="0" w:color="auto"/>
        <w:bottom w:val="none" w:sz="0" w:space="0" w:color="auto"/>
        <w:right w:val="none" w:sz="0" w:space="0" w:color="auto"/>
      </w:divBdr>
    </w:div>
    <w:div w:id="1471824138">
      <w:bodyDiv w:val="1"/>
      <w:marLeft w:val="0"/>
      <w:marRight w:val="0"/>
      <w:marTop w:val="0"/>
      <w:marBottom w:val="0"/>
      <w:divBdr>
        <w:top w:val="none" w:sz="0" w:space="0" w:color="auto"/>
        <w:left w:val="none" w:sz="0" w:space="0" w:color="auto"/>
        <w:bottom w:val="none" w:sz="0" w:space="0" w:color="auto"/>
        <w:right w:val="none" w:sz="0" w:space="0" w:color="auto"/>
      </w:divBdr>
      <w:divsChild>
        <w:div w:id="551502337">
          <w:marLeft w:val="360"/>
          <w:marRight w:val="0"/>
          <w:marTop w:val="200"/>
          <w:marBottom w:val="0"/>
          <w:divBdr>
            <w:top w:val="none" w:sz="0" w:space="0" w:color="auto"/>
            <w:left w:val="none" w:sz="0" w:space="0" w:color="auto"/>
            <w:bottom w:val="none" w:sz="0" w:space="0" w:color="auto"/>
            <w:right w:val="none" w:sz="0" w:space="0" w:color="auto"/>
          </w:divBdr>
        </w:div>
        <w:div w:id="994144416">
          <w:marLeft w:val="360"/>
          <w:marRight w:val="0"/>
          <w:marTop w:val="200"/>
          <w:marBottom w:val="0"/>
          <w:divBdr>
            <w:top w:val="none" w:sz="0" w:space="0" w:color="auto"/>
            <w:left w:val="none" w:sz="0" w:space="0" w:color="auto"/>
            <w:bottom w:val="none" w:sz="0" w:space="0" w:color="auto"/>
            <w:right w:val="none" w:sz="0" w:space="0" w:color="auto"/>
          </w:divBdr>
        </w:div>
        <w:div w:id="1200169936">
          <w:marLeft w:val="360"/>
          <w:marRight w:val="0"/>
          <w:marTop w:val="200"/>
          <w:marBottom w:val="0"/>
          <w:divBdr>
            <w:top w:val="none" w:sz="0" w:space="0" w:color="auto"/>
            <w:left w:val="none" w:sz="0" w:space="0" w:color="auto"/>
            <w:bottom w:val="none" w:sz="0" w:space="0" w:color="auto"/>
            <w:right w:val="none" w:sz="0" w:space="0" w:color="auto"/>
          </w:divBdr>
        </w:div>
        <w:div w:id="1720858677">
          <w:marLeft w:val="360"/>
          <w:marRight w:val="0"/>
          <w:marTop w:val="200"/>
          <w:marBottom w:val="0"/>
          <w:divBdr>
            <w:top w:val="none" w:sz="0" w:space="0" w:color="auto"/>
            <w:left w:val="none" w:sz="0" w:space="0" w:color="auto"/>
            <w:bottom w:val="none" w:sz="0" w:space="0" w:color="auto"/>
            <w:right w:val="none" w:sz="0" w:space="0" w:color="auto"/>
          </w:divBdr>
        </w:div>
        <w:div w:id="425421742">
          <w:marLeft w:val="360"/>
          <w:marRight w:val="0"/>
          <w:marTop w:val="200"/>
          <w:marBottom w:val="0"/>
          <w:divBdr>
            <w:top w:val="none" w:sz="0" w:space="0" w:color="auto"/>
            <w:left w:val="none" w:sz="0" w:space="0" w:color="auto"/>
            <w:bottom w:val="none" w:sz="0" w:space="0" w:color="auto"/>
            <w:right w:val="none" w:sz="0" w:space="0" w:color="auto"/>
          </w:divBdr>
        </w:div>
        <w:div w:id="1615550068">
          <w:marLeft w:val="360"/>
          <w:marRight w:val="0"/>
          <w:marTop w:val="200"/>
          <w:marBottom w:val="0"/>
          <w:divBdr>
            <w:top w:val="none" w:sz="0" w:space="0" w:color="auto"/>
            <w:left w:val="none" w:sz="0" w:space="0" w:color="auto"/>
            <w:bottom w:val="none" w:sz="0" w:space="0" w:color="auto"/>
            <w:right w:val="none" w:sz="0" w:space="0" w:color="auto"/>
          </w:divBdr>
        </w:div>
        <w:div w:id="834952333">
          <w:marLeft w:val="360"/>
          <w:marRight w:val="0"/>
          <w:marTop w:val="200"/>
          <w:marBottom w:val="0"/>
          <w:divBdr>
            <w:top w:val="none" w:sz="0" w:space="0" w:color="auto"/>
            <w:left w:val="none" w:sz="0" w:space="0" w:color="auto"/>
            <w:bottom w:val="none" w:sz="0" w:space="0" w:color="auto"/>
            <w:right w:val="none" w:sz="0" w:space="0" w:color="auto"/>
          </w:divBdr>
        </w:div>
        <w:div w:id="955215425">
          <w:marLeft w:val="360"/>
          <w:marRight w:val="0"/>
          <w:marTop w:val="200"/>
          <w:marBottom w:val="0"/>
          <w:divBdr>
            <w:top w:val="none" w:sz="0" w:space="0" w:color="auto"/>
            <w:left w:val="none" w:sz="0" w:space="0" w:color="auto"/>
            <w:bottom w:val="none" w:sz="0" w:space="0" w:color="auto"/>
            <w:right w:val="none" w:sz="0" w:space="0" w:color="auto"/>
          </w:divBdr>
        </w:div>
      </w:divsChild>
    </w:div>
    <w:div w:id="1779987427">
      <w:bodyDiv w:val="1"/>
      <w:marLeft w:val="0"/>
      <w:marRight w:val="0"/>
      <w:marTop w:val="0"/>
      <w:marBottom w:val="0"/>
      <w:divBdr>
        <w:top w:val="none" w:sz="0" w:space="0" w:color="auto"/>
        <w:left w:val="none" w:sz="0" w:space="0" w:color="auto"/>
        <w:bottom w:val="none" w:sz="0" w:space="0" w:color="auto"/>
        <w:right w:val="none" w:sz="0" w:space="0" w:color="auto"/>
      </w:divBdr>
      <w:divsChild>
        <w:div w:id="724305112">
          <w:marLeft w:val="360"/>
          <w:marRight w:val="0"/>
          <w:marTop w:val="200"/>
          <w:marBottom w:val="0"/>
          <w:divBdr>
            <w:top w:val="none" w:sz="0" w:space="0" w:color="auto"/>
            <w:left w:val="none" w:sz="0" w:space="0" w:color="auto"/>
            <w:bottom w:val="none" w:sz="0" w:space="0" w:color="auto"/>
            <w:right w:val="none" w:sz="0" w:space="0" w:color="auto"/>
          </w:divBdr>
        </w:div>
        <w:div w:id="521822738">
          <w:marLeft w:val="360"/>
          <w:marRight w:val="0"/>
          <w:marTop w:val="200"/>
          <w:marBottom w:val="0"/>
          <w:divBdr>
            <w:top w:val="none" w:sz="0" w:space="0" w:color="auto"/>
            <w:left w:val="none" w:sz="0" w:space="0" w:color="auto"/>
            <w:bottom w:val="none" w:sz="0" w:space="0" w:color="auto"/>
            <w:right w:val="none" w:sz="0" w:space="0" w:color="auto"/>
          </w:divBdr>
        </w:div>
        <w:div w:id="2029285713">
          <w:marLeft w:val="360"/>
          <w:marRight w:val="0"/>
          <w:marTop w:val="200"/>
          <w:marBottom w:val="0"/>
          <w:divBdr>
            <w:top w:val="none" w:sz="0" w:space="0" w:color="auto"/>
            <w:left w:val="none" w:sz="0" w:space="0" w:color="auto"/>
            <w:bottom w:val="none" w:sz="0" w:space="0" w:color="auto"/>
            <w:right w:val="none" w:sz="0" w:space="0" w:color="auto"/>
          </w:divBdr>
        </w:div>
        <w:div w:id="1211265675">
          <w:marLeft w:val="360"/>
          <w:marRight w:val="0"/>
          <w:marTop w:val="200"/>
          <w:marBottom w:val="0"/>
          <w:divBdr>
            <w:top w:val="none" w:sz="0" w:space="0" w:color="auto"/>
            <w:left w:val="none" w:sz="0" w:space="0" w:color="auto"/>
            <w:bottom w:val="none" w:sz="0" w:space="0" w:color="auto"/>
            <w:right w:val="none" w:sz="0" w:space="0" w:color="auto"/>
          </w:divBdr>
        </w:div>
        <w:div w:id="1266109038">
          <w:marLeft w:val="360"/>
          <w:marRight w:val="0"/>
          <w:marTop w:val="200"/>
          <w:marBottom w:val="0"/>
          <w:divBdr>
            <w:top w:val="none" w:sz="0" w:space="0" w:color="auto"/>
            <w:left w:val="none" w:sz="0" w:space="0" w:color="auto"/>
            <w:bottom w:val="none" w:sz="0" w:space="0" w:color="auto"/>
            <w:right w:val="none" w:sz="0" w:space="0" w:color="auto"/>
          </w:divBdr>
        </w:div>
        <w:div w:id="878081098">
          <w:marLeft w:val="1080"/>
          <w:marRight w:val="0"/>
          <w:marTop w:val="100"/>
          <w:marBottom w:val="0"/>
          <w:divBdr>
            <w:top w:val="none" w:sz="0" w:space="0" w:color="auto"/>
            <w:left w:val="none" w:sz="0" w:space="0" w:color="auto"/>
            <w:bottom w:val="none" w:sz="0" w:space="0" w:color="auto"/>
            <w:right w:val="none" w:sz="0" w:space="0" w:color="auto"/>
          </w:divBdr>
        </w:div>
        <w:div w:id="493180982">
          <w:marLeft w:val="1080"/>
          <w:marRight w:val="0"/>
          <w:marTop w:val="100"/>
          <w:marBottom w:val="0"/>
          <w:divBdr>
            <w:top w:val="none" w:sz="0" w:space="0" w:color="auto"/>
            <w:left w:val="none" w:sz="0" w:space="0" w:color="auto"/>
            <w:bottom w:val="none" w:sz="0" w:space="0" w:color="auto"/>
            <w:right w:val="none" w:sz="0" w:space="0" w:color="auto"/>
          </w:divBdr>
        </w:div>
        <w:div w:id="1953509882">
          <w:marLeft w:val="1080"/>
          <w:marRight w:val="0"/>
          <w:marTop w:val="100"/>
          <w:marBottom w:val="0"/>
          <w:divBdr>
            <w:top w:val="none" w:sz="0" w:space="0" w:color="auto"/>
            <w:left w:val="none" w:sz="0" w:space="0" w:color="auto"/>
            <w:bottom w:val="none" w:sz="0" w:space="0" w:color="auto"/>
            <w:right w:val="none" w:sz="0" w:space="0" w:color="auto"/>
          </w:divBdr>
        </w:div>
        <w:div w:id="2097894359">
          <w:marLeft w:val="1123"/>
          <w:marRight w:val="0"/>
          <w:marTop w:val="200"/>
          <w:marBottom w:val="0"/>
          <w:divBdr>
            <w:top w:val="none" w:sz="0" w:space="0" w:color="auto"/>
            <w:left w:val="none" w:sz="0" w:space="0" w:color="auto"/>
            <w:bottom w:val="none" w:sz="0" w:space="0" w:color="auto"/>
            <w:right w:val="none" w:sz="0" w:space="0" w:color="auto"/>
          </w:divBdr>
        </w:div>
        <w:div w:id="436994741">
          <w:marLeft w:val="360"/>
          <w:marRight w:val="0"/>
          <w:marTop w:val="200"/>
          <w:marBottom w:val="0"/>
          <w:divBdr>
            <w:top w:val="none" w:sz="0" w:space="0" w:color="auto"/>
            <w:left w:val="none" w:sz="0" w:space="0" w:color="auto"/>
            <w:bottom w:val="none" w:sz="0" w:space="0" w:color="auto"/>
            <w:right w:val="none" w:sz="0" w:space="0" w:color="auto"/>
          </w:divBdr>
        </w:div>
        <w:div w:id="1612320989">
          <w:marLeft w:val="360"/>
          <w:marRight w:val="0"/>
          <w:marTop w:val="200"/>
          <w:marBottom w:val="0"/>
          <w:divBdr>
            <w:top w:val="none" w:sz="0" w:space="0" w:color="auto"/>
            <w:left w:val="none" w:sz="0" w:space="0" w:color="auto"/>
            <w:bottom w:val="none" w:sz="0" w:space="0" w:color="auto"/>
            <w:right w:val="none" w:sz="0" w:space="0" w:color="auto"/>
          </w:divBdr>
        </w:div>
      </w:divsChild>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10006</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2021-02-03T12:23:00Z</dcterms:created>
  <dcterms:modified xsi:type="dcterms:W3CDTF">2021-02-03T12:23:00Z</dcterms:modified>
</cp:coreProperties>
</file>