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33ECF" w14:textId="77777777" w:rsidR="00396257" w:rsidRPr="00396257" w:rsidRDefault="00396257" w:rsidP="00396257">
      <w:pPr>
        <w:keepNext/>
        <w:spacing w:before="240" w:after="60"/>
        <w:outlineLvl w:val="0"/>
        <w:rPr>
          <w:rFonts w:ascii="Cambria" w:eastAsia="Times New Roman" w:hAnsi="Cambria" w:cs="Times New Roman"/>
          <w:b/>
          <w:bCs/>
          <w:kern w:val="32"/>
          <w:sz w:val="32"/>
          <w:szCs w:val="32"/>
        </w:rPr>
      </w:pPr>
      <w:bookmarkStart w:id="0" w:name="_Ref515632423"/>
      <w:r w:rsidRPr="00396257">
        <w:rPr>
          <w:rFonts w:ascii="Cambria" w:eastAsia="Times New Roman" w:hAnsi="Cambria" w:cs="Times New Roman"/>
          <w:b/>
          <w:bCs/>
          <w:kern w:val="32"/>
          <w:sz w:val="32"/>
          <w:szCs w:val="32"/>
        </w:rPr>
        <w:t>Risk Stratification</w:t>
      </w:r>
      <w:bookmarkEnd w:id="0"/>
    </w:p>
    <w:tbl>
      <w:tblPr>
        <w:tblStyle w:val="TableGridLight"/>
        <w:tblW w:w="0" w:type="auto"/>
        <w:tblLook w:val="04A0" w:firstRow="1" w:lastRow="0" w:firstColumn="1" w:lastColumn="0" w:noHBand="0" w:noVBand="1"/>
      </w:tblPr>
      <w:tblGrid>
        <w:gridCol w:w="2747"/>
        <w:gridCol w:w="6269"/>
      </w:tblGrid>
      <w:tr w:rsidR="00396257" w:rsidRPr="00396257" w14:paraId="0746D2EC" w14:textId="77777777" w:rsidTr="00E11CDD">
        <w:tc>
          <w:tcPr>
            <w:tcW w:w="2802" w:type="dxa"/>
          </w:tcPr>
          <w:p w14:paraId="07DD5109"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Data Controller(s)</w:t>
            </w:r>
          </w:p>
        </w:tc>
        <w:tc>
          <w:tcPr>
            <w:tcW w:w="6440" w:type="dxa"/>
          </w:tcPr>
          <w:p w14:paraId="507A84D5"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NHS North East Lincolnshire CCG</w:t>
            </w:r>
          </w:p>
        </w:tc>
      </w:tr>
      <w:tr w:rsidR="00396257" w:rsidRPr="00396257" w14:paraId="6FAA0F3D" w14:textId="77777777" w:rsidTr="00E11CDD">
        <w:tc>
          <w:tcPr>
            <w:tcW w:w="2802" w:type="dxa"/>
          </w:tcPr>
          <w:p w14:paraId="43165EA8"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Purpose</w:t>
            </w:r>
          </w:p>
        </w:tc>
        <w:tc>
          <w:tcPr>
            <w:tcW w:w="6440" w:type="dxa"/>
          </w:tcPr>
          <w:p w14:paraId="4C3A3257"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 xml:space="preserve">Information from health and social care records, using the NHS Number provided via the </w:t>
            </w:r>
            <w:hyperlink r:id="rId8" w:history="1">
              <w:r w:rsidRPr="00396257">
                <w:rPr>
                  <w:rFonts w:ascii="Calibri" w:eastAsia="Calibri" w:hAnsi="Calibri" w:cs="Times New Roman"/>
                  <w:color w:val="0000FF"/>
                  <w:u w:val="single"/>
                </w:rPr>
                <w:t>Secondary Uses Service</w:t>
              </w:r>
            </w:hyperlink>
            <w:r w:rsidRPr="00396257">
              <w:rPr>
                <w:rFonts w:ascii="Calibri" w:eastAsia="Calibri" w:hAnsi="Calibri" w:cs="Times New Roman"/>
              </w:rPr>
              <w:t xml:space="preserve"> (SUS) at NHS Digital, is looked at to identify groups of patients who would benefit from some additional help from their GP or care team. This is known as ‘Risk Stratification’. The aim is to prevent ill health and possible future hospital stays, rather than wait for you to become sick. You have the right to opt out of your information being shared by NHS Digital; please see the Your Right to Opt Out section below.</w:t>
            </w:r>
          </w:p>
        </w:tc>
      </w:tr>
      <w:tr w:rsidR="00396257" w:rsidRPr="00396257" w14:paraId="48732B68" w14:textId="77777777" w:rsidTr="00E11CDD">
        <w:tc>
          <w:tcPr>
            <w:tcW w:w="2802" w:type="dxa"/>
          </w:tcPr>
          <w:p w14:paraId="6A179CFB"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Type of information Used</w:t>
            </w:r>
          </w:p>
        </w:tc>
        <w:tc>
          <w:tcPr>
            <w:tcW w:w="6440" w:type="dxa"/>
          </w:tcPr>
          <w:p w14:paraId="26EE32E9"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 xml:space="preserve">Only de-identified information (NHS number removed) is accessible to the CCG. </w:t>
            </w:r>
          </w:p>
          <w:p w14:paraId="1B23D370"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Only GP Practices within the CCG have access to identifiable information (NHS Number) of their own patients in order to see who may benefit from additional help.</w:t>
            </w:r>
          </w:p>
        </w:tc>
      </w:tr>
      <w:tr w:rsidR="00396257" w:rsidRPr="00396257" w14:paraId="2A431A99" w14:textId="77777777" w:rsidTr="00E11CDD">
        <w:tc>
          <w:tcPr>
            <w:tcW w:w="2802" w:type="dxa"/>
          </w:tcPr>
          <w:p w14:paraId="055505B5"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Legal basis</w:t>
            </w:r>
          </w:p>
        </w:tc>
        <w:tc>
          <w:tcPr>
            <w:tcW w:w="6440" w:type="dxa"/>
          </w:tcPr>
          <w:p w14:paraId="29C8AAD3"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GDPR Article 6(1)(e) – processing is necessary for the performance of a task carried out in the exercise of official authority vested in the controller.</w:t>
            </w:r>
          </w:p>
          <w:p w14:paraId="124E31BA"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GDPR Article 9(2)(h) processing is necessary for the purposes of the provision of health or social care or treatment or the management of health or social care systems and services.</w:t>
            </w:r>
          </w:p>
          <w:p w14:paraId="5CD67493"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 xml:space="preserve">A </w:t>
            </w:r>
            <w:hyperlink r:id="rId9" w:history="1">
              <w:r w:rsidRPr="00396257">
                <w:rPr>
                  <w:rFonts w:ascii="Calibri" w:eastAsia="Calibri" w:hAnsi="Calibri" w:cs="Times New Roman"/>
                  <w:color w:val="0000FF"/>
                  <w:u w:val="single"/>
                </w:rPr>
                <w:t>section 251</w:t>
              </w:r>
            </w:hyperlink>
            <w:r w:rsidRPr="00396257">
              <w:rPr>
                <w:rFonts w:ascii="Calibri" w:eastAsia="Calibri" w:hAnsi="Calibri" w:cs="Times New Roman"/>
              </w:rPr>
              <w:t xml:space="preserve"> approval (CAG 7-04(a)/2013) from the Secretary of State, through the </w:t>
            </w:r>
            <w:hyperlink r:id="rId10" w:history="1">
              <w:r w:rsidRPr="00396257">
                <w:rPr>
                  <w:rFonts w:ascii="Calibri" w:eastAsia="Calibri" w:hAnsi="Calibri" w:cs="Times New Roman"/>
                  <w:color w:val="0000FF"/>
                  <w:u w:val="single"/>
                </w:rPr>
                <w:t>Confidentiality Advisory Group</w:t>
              </w:r>
            </w:hyperlink>
            <w:r w:rsidRPr="00396257">
              <w:rPr>
                <w:rFonts w:ascii="Calibri" w:eastAsia="Calibri" w:hAnsi="Calibri" w:cs="Times New Roman"/>
              </w:rPr>
              <w:t xml:space="preserve"> of the Health Research Authority, enables the pseudonymised information to be sent to the CCG via NHS Digital in order to help us plan the most appropriate health services for our population.</w:t>
            </w:r>
          </w:p>
        </w:tc>
      </w:tr>
      <w:tr w:rsidR="00396257" w:rsidRPr="00396257" w14:paraId="074FC340" w14:textId="77777777" w:rsidTr="00E11CDD">
        <w:tc>
          <w:tcPr>
            <w:tcW w:w="2802" w:type="dxa"/>
          </w:tcPr>
          <w:p w14:paraId="6B602856"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How we collect (the source) and use the information</w:t>
            </w:r>
          </w:p>
        </w:tc>
        <w:tc>
          <w:tcPr>
            <w:tcW w:w="6440" w:type="dxa"/>
          </w:tcPr>
          <w:p w14:paraId="62F85364" w14:textId="4FE6338B" w:rsidR="00396257" w:rsidRPr="00396257" w:rsidRDefault="00396257" w:rsidP="00396257">
            <w:pPr>
              <w:rPr>
                <w:rFonts w:ascii="Calibri" w:eastAsia="Calibri" w:hAnsi="Calibri" w:cs="Times New Roman"/>
              </w:rPr>
            </w:pPr>
            <w:r w:rsidRPr="00396257">
              <w:rPr>
                <w:rFonts w:ascii="Calibri" w:eastAsia="Calibri" w:hAnsi="Calibri" w:cs="Times New Roman"/>
              </w:rPr>
              <w:t xml:space="preserve">Primary Care data extracted from individual GP practices and Secondary Care data (collected nationally via the Secondary Uses Service): Inpatient, Outpatient, Accident and Emergency, Out of Hours, Urgent Care, Community Nursing, Community Mental Health is passed to the Data Services for Commissioners Regional Office (DSCRO) so that the information can be linked. This information is </w:t>
            </w:r>
            <w:r w:rsidR="00863EDC">
              <w:rPr>
                <w:rFonts w:ascii="Calibri" w:eastAsia="Calibri" w:hAnsi="Calibri" w:cs="Times New Roman"/>
              </w:rPr>
              <w:t xml:space="preserve">processed </w:t>
            </w:r>
            <w:r w:rsidR="00740D90">
              <w:rPr>
                <w:rFonts w:ascii="Calibri" w:eastAsia="Calibri" w:hAnsi="Calibri" w:cs="Times New Roman"/>
              </w:rPr>
              <w:t xml:space="preserve">by </w:t>
            </w:r>
            <w:r w:rsidR="00740D90" w:rsidRPr="00396257">
              <w:rPr>
                <w:rFonts w:ascii="Calibri" w:eastAsia="Calibri" w:hAnsi="Calibri" w:cs="Times New Roman"/>
              </w:rPr>
              <w:t>NECS</w:t>
            </w:r>
            <w:r w:rsidRPr="00396257">
              <w:rPr>
                <w:rFonts w:ascii="Calibri" w:eastAsia="Calibri" w:hAnsi="Calibri" w:cs="Times New Roman"/>
              </w:rPr>
              <w:t xml:space="preserve"> </w:t>
            </w:r>
            <w:r w:rsidR="00863EDC">
              <w:rPr>
                <w:rFonts w:ascii="Calibri" w:eastAsia="Calibri" w:hAnsi="Calibri" w:cs="Times New Roman"/>
              </w:rPr>
              <w:t xml:space="preserve">and provided to the CCG and Practices in the Risk tool within RAIDR. </w:t>
            </w:r>
            <w:r w:rsidRPr="00396257">
              <w:rPr>
                <w:rFonts w:ascii="Calibri" w:eastAsia="Calibri" w:hAnsi="Calibri" w:cs="Times New Roman"/>
              </w:rPr>
              <w:t xml:space="preserve"> </w:t>
            </w:r>
          </w:p>
          <w:p w14:paraId="6BA40FBF"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De-identified information is made available to the CCG to provide a picture of the health and needs of their local population, which enables:</w:t>
            </w:r>
          </w:p>
          <w:p w14:paraId="0FFD0C39"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priorities to be determined in the management and use of resources;</w:t>
            </w:r>
          </w:p>
          <w:p w14:paraId="79CAA7AB"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planning services; cover the range of potential questions, and issues they may need to consider, and</w:t>
            </w:r>
          </w:p>
          <w:p w14:paraId="6E8F3777" w14:textId="77777777" w:rsidR="00396257" w:rsidRPr="00396257" w:rsidRDefault="00396257" w:rsidP="00396257">
            <w:pPr>
              <w:rPr>
                <w:rFonts w:ascii="Calibri" w:eastAsia="Calibri" w:hAnsi="Calibri" w:cs="Times New Roman"/>
              </w:rPr>
            </w:pPr>
            <w:r w:rsidRPr="00396257">
              <w:rPr>
                <w:rFonts w:ascii="Calibri" w:eastAsia="Calibri" w:hAnsi="Calibri" w:cs="Times New Roman"/>
              </w:rPr>
              <w:t>to support and evidence decisions.</w:t>
            </w:r>
          </w:p>
        </w:tc>
      </w:tr>
      <w:tr w:rsidR="00396257" w:rsidRPr="00396257" w14:paraId="57726194" w14:textId="77777777" w:rsidTr="00E11CDD">
        <w:tc>
          <w:tcPr>
            <w:tcW w:w="2802" w:type="dxa"/>
          </w:tcPr>
          <w:p w14:paraId="1A021AD6"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Data Processors</w:t>
            </w:r>
          </w:p>
        </w:tc>
        <w:tc>
          <w:tcPr>
            <w:tcW w:w="6440" w:type="dxa"/>
          </w:tcPr>
          <w:p w14:paraId="7EDF4BF8" w14:textId="4D543FAD" w:rsidR="00E11CDD" w:rsidRPr="00396257" w:rsidRDefault="00787C4F" w:rsidP="00740D90">
            <w:pPr>
              <w:rPr>
                <w:rFonts w:ascii="Calibri" w:eastAsia="Calibri" w:hAnsi="Calibri" w:cs="Times New Roman"/>
              </w:rPr>
            </w:pPr>
            <w:hyperlink r:id="rId11" w:history="1">
              <w:r w:rsidR="00396257" w:rsidRPr="00396257">
                <w:rPr>
                  <w:rFonts w:ascii="Calibri" w:eastAsia="Calibri" w:hAnsi="Calibri" w:cs="Times New Roman"/>
                  <w:color w:val="0000FF"/>
                  <w:u w:val="single"/>
                </w:rPr>
                <w:t>Data Services for Commissioners Regional Office (DSCRO)</w:t>
              </w:r>
            </w:hyperlink>
            <w:r w:rsidR="00396257" w:rsidRPr="00396257">
              <w:rPr>
                <w:rFonts w:ascii="Calibri" w:eastAsia="Calibri" w:hAnsi="Calibri" w:cs="Times New Roman"/>
              </w:rPr>
              <w:t xml:space="preserve">  </w:t>
            </w:r>
            <w:hyperlink r:id="rId12" w:history="1">
              <w:r w:rsidR="00396257" w:rsidRPr="00396257">
                <w:rPr>
                  <w:rFonts w:ascii="Calibri" w:eastAsia="Calibri" w:hAnsi="Calibri" w:cs="Times New Roman"/>
                  <w:color w:val="0000FF"/>
                  <w:u w:val="single"/>
                </w:rPr>
                <w:t>North of England Commissioning Support (NECS)</w:t>
              </w:r>
            </w:hyperlink>
            <w:hyperlink r:id="rId13" w:history="1"/>
          </w:p>
        </w:tc>
      </w:tr>
      <w:tr w:rsidR="00396257" w:rsidRPr="00396257" w14:paraId="1BF55788" w14:textId="77777777" w:rsidTr="00E11CDD">
        <w:tc>
          <w:tcPr>
            <w:tcW w:w="2802" w:type="dxa"/>
          </w:tcPr>
          <w:p w14:paraId="5A16479A"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Your Rights</w:t>
            </w:r>
          </w:p>
        </w:tc>
        <w:tc>
          <w:tcPr>
            <w:tcW w:w="6440" w:type="dxa"/>
          </w:tcPr>
          <w:p w14:paraId="23C5BACF" w14:textId="6E0494AD" w:rsidR="00863EDC" w:rsidRDefault="00396257" w:rsidP="00863EDC">
            <w:pPr>
              <w:rPr>
                <w:rFonts w:ascii="Calibri" w:eastAsia="Calibri" w:hAnsi="Calibri" w:cs="Times New Roman"/>
              </w:rPr>
            </w:pPr>
            <w:r w:rsidRPr="00396257">
              <w:rPr>
                <w:rFonts w:ascii="Calibri" w:eastAsia="Calibri" w:hAnsi="Calibri" w:cs="Times New Roman"/>
              </w:rPr>
              <w:t xml:space="preserve">If you do not want the NHS to use information about you, collected by your GP then you can opt out by completing an opt-out form and returning it to your GP practice. There are different types or levels of opt-out available; Type 1 opt out is where you do not wish for your information to be shared outside of your GP Practice for </w:t>
            </w:r>
            <w:r w:rsidRPr="00396257">
              <w:rPr>
                <w:rFonts w:ascii="Calibri" w:eastAsia="Calibri" w:hAnsi="Calibri" w:cs="Times New Roman"/>
              </w:rPr>
              <w:lastRenderedPageBreak/>
              <w:t xml:space="preserve">any purpose other than your direct care and Type 2 opt out  is where you do not wish for your information to be shared by NHS Digital. Further information about the Type 2 opt out is available from </w:t>
            </w:r>
            <w:hyperlink r:id="rId14" w:history="1">
              <w:r w:rsidRPr="00396257">
                <w:rPr>
                  <w:rFonts w:ascii="Calibri" w:eastAsia="Calibri" w:hAnsi="Calibri" w:cs="Times New Roman"/>
                  <w:color w:val="0000FF"/>
                  <w:u w:val="single"/>
                </w:rPr>
                <w:t>NHS Digital</w:t>
              </w:r>
            </w:hyperlink>
            <w:r w:rsidRPr="00396257">
              <w:rPr>
                <w:rFonts w:ascii="Calibri" w:eastAsia="Calibri" w:hAnsi="Calibri" w:cs="Times New Roman"/>
              </w:rPr>
              <w:t xml:space="preserve">. Details of the national patient opt out can be found </w:t>
            </w:r>
            <w:hyperlink r:id="rId15" w:history="1">
              <w:r w:rsidR="00863EDC">
                <w:rPr>
                  <w:rStyle w:val="Hyperlink"/>
                  <w:rFonts w:ascii="Calibri" w:eastAsia="Calibri" w:hAnsi="Calibri" w:cs="Times New Roman"/>
                </w:rPr>
                <w:t>here</w:t>
              </w:r>
            </w:hyperlink>
          </w:p>
          <w:p w14:paraId="07A74D82" w14:textId="77777777" w:rsidR="00863EDC" w:rsidRPr="00396257" w:rsidRDefault="00863EDC" w:rsidP="00863EDC">
            <w:pPr>
              <w:rPr>
                <w:rFonts w:ascii="Calibri" w:eastAsia="Calibri" w:hAnsi="Calibri" w:cs="Times New Roman"/>
              </w:rPr>
            </w:pPr>
          </w:p>
          <w:p w14:paraId="739C6532" w14:textId="745CA335" w:rsidR="00396257" w:rsidRPr="00396257" w:rsidRDefault="00396257" w:rsidP="00396257">
            <w:pPr>
              <w:rPr>
                <w:rFonts w:ascii="Calibri" w:eastAsia="Calibri" w:hAnsi="Calibri" w:cs="Times New Roman"/>
              </w:rPr>
            </w:pPr>
            <w:r w:rsidRPr="00396257">
              <w:rPr>
                <w:rFonts w:ascii="Calibri" w:eastAsia="Calibri" w:hAnsi="Calibri" w:cs="Times New Roman"/>
              </w:rPr>
              <w:t xml:space="preserve"> you have the right:</w:t>
            </w:r>
          </w:p>
          <w:p w14:paraId="51E332BD" w14:textId="77777777" w:rsidR="00396257" w:rsidRPr="00396257" w:rsidRDefault="00396257" w:rsidP="00396257">
            <w:pPr>
              <w:numPr>
                <w:ilvl w:val="0"/>
                <w:numId w:val="1"/>
              </w:numPr>
              <w:rPr>
                <w:rFonts w:ascii="Calibri" w:eastAsia="Calibri" w:hAnsi="Calibri" w:cs="Times New Roman"/>
              </w:rPr>
            </w:pPr>
            <w:r w:rsidRPr="00396257">
              <w:rPr>
                <w:rFonts w:ascii="Calibri" w:eastAsia="Calibri" w:hAnsi="Calibri" w:cs="Times New Roman"/>
              </w:rPr>
              <w:t>To be informed about the processing of your information (this notice)</w:t>
            </w:r>
          </w:p>
          <w:p w14:paraId="141E5501" w14:textId="77777777" w:rsidR="00396257" w:rsidRPr="00396257" w:rsidRDefault="00396257" w:rsidP="00396257">
            <w:pPr>
              <w:numPr>
                <w:ilvl w:val="0"/>
                <w:numId w:val="1"/>
              </w:numPr>
              <w:rPr>
                <w:rFonts w:ascii="Calibri" w:eastAsia="Calibri" w:hAnsi="Calibri" w:cs="Times New Roman"/>
              </w:rPr>
            </w:pPr>
            <w:r w:rsidRPr="00396257">
              <w:rPr>
                <w:rFonts w:ascii="Calibri" w:eastAsia="Calibri" w:hAnsi="Calibri" w:cs="Times New Roman"/>
              </w:rPr>
              <w:t>Of access to the information held about you</w:t>
            </w:r>
          </w:p>
          <w:p w14:paraId="6AAFC0C2" w14:textId="77777777" w:rsidR="00396257" w:rsidRPr="00396257" w:rsidRDefault="00396257" w:rsidP="00396257">
            <w:pPr>
              <w:numPr>
                <w:ilvl w:val="0"/>
                <w:numId w:val="1"/>
              </w:numPr>
              <w:rPr>
                <w:rFonts w:ascii="Calibri" w:eastAsia="Calibri" w:hAnsi="Calibri" w:cs="Times New Roman"/>
              </w:rPr>
            </w:pPr>
            <w:r w:rsidRPr="00396257">
              <w:rPr>
                <w:rFonts w:ascii="Calibri" w:eastAsia="Calibri" w:hAnsi="Calibri" w:cs="Times New Roman"/>
              </w:rPr>
              <w:t>To have the information corrected in the event that it is inaccurate</w:t>
            </w:r>
          </w:p>
          <w:p w14:paraId="7382B18F" w14:textId="77777777" w:rsidR="00396257" w:rsidRPr="00396257" w:rsidRDefault="00396257" w:rsidP="00396257">
            <w:pPr>
              <w:numPr>
                <w:ilvl w:val="0"/>
                <w:numId w:val="1"/>
              </w:numPr>
              <w:rPr>
                <w:rFonts w:ascii="Calibri" w:eastAsia="Calibri" w:hAnsi="Calibri" w:cs="Times New Roman"/>
              </w:rPr>
            </w:pPr>
            <w:r w:rsidRPr="00396257">
              <w:rPr>
                <w:rFonts w:ascii="Calibri" w:eastAsia="Calibri" w:hAnsi="Calibri" w:cs="Times New Roman"/>
              </w:rPr>
              <w:t>To restrict or stop processing</w:t>
            </w:r>
          </w:p>
          <w:p w14:paraId="77E2A80B" w14:textId="77777777" w:rsidR="00396257" w:rsidRPr="00396257" w:rsidRDefault="00396257" w:rsidP="00396257">
            <w:pPr>
              <w:numPr>
                <w:ilvl w:val="0"/>
                <w:numId w:val="1"/>
              </w:numPr>
              <w:rPr>
                <w:rFonts w:ascii="Calibri" w:eastAsia="Calibri" w:hAnsi="Calibri" w:cs="Times New Roman"/>
              </w:rPr>
            </w:pPr>
            <w:r w:rsidRPr="00396257">
              <w:rPr>
                <w:rFonts w:ascii="Calibri" w:eastAsia="Calibri" w:hAnsi="Calibri" w:cs="Times New Roman"/>
              </w:rPr>
              <w:t>To object to it being processed or used</w:t>
            </w:r>
          </w:p>
          <w:p w14:paraId="4D5599D1" w14:textId="77777777" w:rsidR="00396257" w:rsidRPr="00396257" w:rsidRDefault="00396257" w:rsidP="00396257">
            <w:pPr>
              <w:numPr>
                <w:ilvl w:val="0"/>
                <w:numId w:val="1"/>
              </w:numPr>
              <w:rPr>
                <w:rFonts w:ascii="Calibri" w:eastAsia="Calibri" w:hAnsi="Calibri" w:cs="Times New Roman"/>
              </w:rPr>
            </w:pPr>
            <w:r w:rsidRPr="00396257">
              <w:rPr>
                <w:rFonts w:ascii="Calibri" w:eastAsia="Calibri" w:hAnsi="Calibri" w:cs="Times New Roman"/>
              </w:rPr>
              <w:t>Not to be subject automated decision-taking or profiling</w:t>
            </w:r>
          </w:p>
          <w:p w14:paraId="67FACF73" w14:textId="77777777" w:rsidR="00396257" w:rsidRPr="00396257" w:rsidRDefault="00396257" w:rsidP="00396257">
            <w:pPr>
              <w:numPr>
                <w:ilvl w:val="0"/>
                <w:numId w:val="1"/>
              </w:numPr>
              <w:rPr>
                <w:rFonts w:ascii="Calibri" w:eastAsia="Calibri" w:hAnsi="Calibri" w:cs="Times New Roman"/>
              </w:rPr>
            </w:pPr>
            <w:r w:rsidRPr="00396257">
              <w:rPr>
                <w:rFonts w:ascii="Calibri" w:eastAsia="Calibri" w:hAnsi="Calibri" w:cs="Times New Roman"/>
              </w:rPr>
              <w:t>To be notified of data breaches</w:t>
            </w:r>
          </w:p>
        </w:tc>
      </w:tr>
      <w:tr w:rsidR="00396257" w:rsidRPr="00396257" w14:paraId="553F6F09" w14:textId="77777777" w:rsidTr="00E11CDD">
        <w:tc>
          <w:tcPr>
            <w:tcW w:w="2802" w:type="dxa"/>
          </w:tcPr>
          <w:p w14:paraId="2E2BAD56"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lastRenderedPageBreak/>
              <w:t>How long we will keep the information</w:t>
            </w:r>
          </w:p>
        </w:tc>
        <w:tc>
          <w:tcPr>
            <w:tcW w:w="6440" w:type="dxa"/>
          </w:tcPr>
          <w:p w14:paraId="5CA5872B" w14:textId="54194F7E" w:rsidR="00396257" w:rsidRPr="00396257" w:rsidRDefault="00787C4F" w:rsidP="00396257">
            <w:pPr>
              <w:rPr>
                <w:rFonts w:ascii="Calibri" w:eastAsia="Calibri" w:hAnsi="Calibri" w:cs="Times New Roman"/>
              </w:rPr>
            </w:pPr>
            <w:r w:rsidRPr="00787C4F">
              <w:rPr>
                <w:rFonts w:ascii="Calibri" w:eastAsia="Calibri" w:hAnsi="Calibri" w:cs="Times New Roman"/>
              </w:rPr>
              <w:t xml:space="preserve">The organisation has adopted The Records Management Code of Practice for Health and Social Care 2021.  Data will be retained in accordance with this code and the accompanied retention schedule. </w:t>
            </w:r>
            <w:r w:rsidR="00863EDC">
              <w:rPr>
                <w:rFonts w:ascii="Calibri" w:eastAsia="Calibri" w:hAnsi="Calibri" w:cs="Times New Roman"/>
              </w:rPr>
              <w:t>Specifically, for the Risk tool, the system will hold three years of data updated monthly to be used within the tool.  Only live data will be used, and the data will be destroyed at the end of the contract or if the patient deceased or the practice gives notice that they no longer wish to use the tool.</w:t>
            </w:r>
          </w:p>
        </w:tc>
      </w:tr>
      <w:tr w:rsidR="00396257" w:rsidRPr="00396257" w14:paraId="00FEDE7E" w14:textId="77777777" w:rsidTr="00E11CDD">
        <w:tc>
          <w:tcPr>
            <w:tcW w:w="2802" w:type="dxa"/>
          </w:tcPr>
          <w:p w14:paraId="7D93941E" w14:textId="77777777" w:rsidR="00396257" w:rsidRPr="00396257" w:rsidRDefault="00396257" w:rsidP="00396257">
            <w:pPr>
              <w:rPr>
                <w:rFonts w:ascii="Calibri" w:eastAsia="Calibri" w:hAnsi="Calibri" w:cs="Times New Roman"/>
                <w:b/>
              </w:rPr>
            </w:pPr>
            <w:r w:rsidRPr="00396257">
              <w:rPr>
                <w:rFonts w:ascii="Calibri" w:eastAsia="Calibri" w:hAnsi="Calibri" w:cs="Times New Roman"/>
                <w:b/>
              </w:rPr>
              <w:t>Who we will share the information with (recipients)</w:t>
            </w:r>
          </w:p>
        </w:tc>
        <w:tc>
          <w:tcPr>
            <w:tcW w:w="6440" w:type="dxa"/>
          </w:tcPr>
          <w:p w14:paraId="21A639A9" w14:textId="2C3DEFB5" w:rsidR="00396257" w:rsidRPr="00396257" w:rsidRDefault="00396257" w:rsidP="00396257">
            <w:pPr>
              <w:rPr>
                <w:rFonts w:ascii="Calibri" w:eastAsia="Calibri" w:hAnsi="Calibri" w:cs="Times New Roman"/>
              </w:rPr>
            </w:pPr>
            <w:r w:rsidRPr="00396257">
              <w:rPr>
                <w:rFonts w:ascii="Calibri" w:eastAsia="Calibri" w:hAnsi="Calibri" w:cs="Times New Roman"/>
              </w:rPr>
              <w:t>This information is not shared outside of the CCG</w:t>
            </w:r>
            <w:r w:rsidR="00863EDC">
              <w:rPr>
                <w:rFonts w:ascii="Calibri" w:eastAsia="Calibri" w:hAnsi="Calibri" w:cs="Times New Roman"/>
              </w:rPr>
              <w:t>, except as appropriate with our local Community Services Provider at practice level to support their work within the practices to improve the services to patients.</w:t>
            </w:r>
          </w:p>
        </w:tc>
      </w:tr>
    </w:tbl>
    <w:p w14:paraId="4CAA2FEF" w14:textId="77777777" w:rsidR="0017520C" w:rsidRDefault="0017520C"/>
    <w:sectPr w:rsidR="0017520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A8407" w14:textId="77777777" w:rsidR="00787C4F" w:rsidRDefault="00787C4F" w:rsidP="00787C4F">
      <w:pPr>
        <w:spacing w:after="0" w:line="240" w:lineRule="auto"/>
      </w:pPr>
      <w:r>
        <w:separator/>
      </w:r>
    </w:p>
  </w:endnote>
  <w:endnote w:type="continuationSeparator" w:id="0">
    <w:p w14:paraId="6E4DA9E0" w14:textId="77777777" w:rsidR="00787C4F" w:rsidRDefault="00787C4F" w:rsidP="0078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0F80" w14:textId="77777777" w:rsidR="00787C4F" w:rsidRDefault="00787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3E34F" w14:textId="1DF2C929" w:rsidR="00787C4F" w:rsidRDefault="00787C4F">
    <w:pPr>
      <w:pStyle w:val="Footer"/>
    </w:pPr>
    <w:r>
      <w:t xml:space="preserve">Sept 2021 </w:t>
    </w:r>
    <w: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C6F5" w14:textId="77777777" w:rsidR="00787C4F" w:rsidRDefault="0078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B5374" w14:textId="77777777" w:rsidR="00787C4F" w:rsidRDefault="00787C4F" w:rsidP="00787C4F">
      <w:pPr>
        <w:spacing w:after="0" w:line="240" w:lineRule="auto"/>
      </w:pPr>
      <w:r>
        <w:separator/>
      </w:r>
    </w:p>
  </w:footnote>
  <w:footnote w:type="continuationSeparator" w:id="0">
    <w:p w14:paraId="2F81C021" w14:textId="77777777" w:rsidR="00787C4F" w:rsidRDefault="00787C4F" w:rsidP="00787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06184" w14:textId="77777777" w:rsidR="00787C4F" w:rsidRDefault="00787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43EC" w14:textId="77777777" w:rsidR="00787C4F" w:rsidRDefault="00787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72E0" w14:textId="77777777" w:rsidR="00787C4F" w:rsidRDefault="0078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B2FEB"/>
    <w:multiLevelType w:val="hybridMultilevel"/>
    <w:tmpl w:val="2BC4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19"/>
    <w:rsid w:val="0017520C"/>
    <w:rsid w:val="00396257"/>
    <w:rsid w:val="006F4619"/>
    <w:rsid w:val="00740D90"/>
    <w:rsid w:val="00787C4F"/>
    <w:rsid w:val="00863EDC"/>
    <w:rsid w:val="00AB024E"/>
    <w:rsid w:val="00C94656"/>
    <w:rsid w:val="00E11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E81A"/>
  <w15:docId w15:val="{3361C668-B682-4D61-996C-5DECCDB4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4656"/>
    <w:rPr>
      <w:color w:val="0000FF"/>
      <w:u w:val="single"/>
    </w:rPr>
  </w:style>
  <w:style w:type="paragraph" w:styleId="BalloonText">
    <w:name w:val="Balloon Text"/>
    <w:basedOn w:val="Normal"/>
    <w:link w:val="BalloonTextChar"/>
    <w:uiPriority w:val="99"/>
    <w:semiHidden/>
    <w:unhideWhenUsed/>
    <w:rsid w:val="00E1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DD"/>
    <w:rPr>
      <w:rFonts w:ascii="Segoe UI" w:hAnsi="Segoe UI" w:cs="Segoe UI"/>
      <w:sz w:val="18"/>
      <w:szCs w:val="18"/>
    </w:rPr>
  </w:style>
  <w:style w:type="character" w:styleId="UnresolvedMention">
    <w:name w:val="Unresolved Mention"/>
    <w:basedOn w:val="DefaultParagraphFont"/>
    <w:uiPriority w:val="99"/>
    <w:semiHidden/>
    <w:unhideWhenUsed/>
    <w:rsid w:val="00E11CDD"/>
    <w:rPr>
      <w:color w:val="605E5C"/>
      <w:shd w:val="clear" w:color="auto" w:fill="E1DFDD"/>
    </w:rPr>
  </w:style>
  <w:style w:type="table" w:styleId="TableGridLight">
    <w:name w:val="Grid Table Light"/>
    <w:basedOn w:val="TableNormal"/>
    <w:uiPriority w:val="40"/>
    <w:rsid w:val="00E11C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87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C4F"/>
  </w:style>
  <w:style w:type="paragraph" w:styleId="Footer">
    <w:name w:val="footer"/>
    <w:basedOn w:val="Normal"/>
    <w:link w:val="FooterChar"/>
    <w:uiPriority w:val="99"/>
    <w:unhideWhenUsed/>
    <w:rsid w:val="00787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s" TargetMode="External"/><Relationship Id="rId13" Type="http://schemas.openxmlformats.org/officeDocument/2006/relationships/hyperlink" Target="https://www.n3i.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ecsu.nhs.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data-services-for-commissioners-dsfc" TargetMode="Externa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theme" Target="theme/theme1.xml"/><Relationship Id="rId10" Type="http://schemas.openxmlformats.org/officeDocument/2006/relationships/hyperlink" Target="https://www.hra.nhs.uk/about-us/committees-and-services/confidentiality-advisory-grou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ra.nhs.uk/about-us/committees-and-services/confidentiality-advisory-group/legal-frameworks/" TargetMode="External"/><Relationship Id="rId14" Type="http://schemas.openxmlformats.org/officeDocument/2006/relationships/hyperlink" Target="https://digital.nhs.uk/data-access-request-service/type-2-opt-ou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4A99-101B-43EE-9BAE-CB8EDEF9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2021-09-09T17:11:00Z</dcterms:created>
  <dcterms:modified xsi:type="dcterms:W3CDTF">2021-09-09T17:11:00Z</dcterms:modified>
</cp:coreProperties>
</file>