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8B02" w14:textId="77777777" w:rsidR="000C3244" w:rsidRDefault="00820F05" w:rsidP="000C3244">
      <w:pPr>
        <w:pStyle w:val="Heading1"/>
      </w:pPr>
      <w:r>
        <w:t>Population Health Management (PHM)</w:t>
      </w:r>
    </w:p>
    <w:tbl>
      <w:tblPr>
        <w:tblStyle w:val="TableGridLight"/>
        <w:tblW w:w="0" w:type="auto"/>
        <w:tblLayout w:type="fixed"/>
        <w:tblLook w:val="04A0" w:firstRow="1" w:lastRow="0" w:firstColumn="1" w:lastColumn="0" w:noHBand="0" w:noVBand="1"/>
      </w:tblPr>
      <w:tblGrid>
        <w:gridCol w:w="1951"/>
        <w:gridCol w:w="7291"/>
      </w:tblGrid>
      <w:tr w:rsidR="000C3244" w14:paraId="23BB5E28" w14:textId="77777777" w:rsidTr="00EF2EEA">
        <w:tc>
          <w:tcPr>
            <w:tcW w:w="1951" w:type="dxa"/>
          </w:tcPr>
          <w:p w14:paraId="4765CC27" w14:textId="77777777" w:rsidR="000C3244" w:rsidRPr="007C439E" w:rsidRDefault="000C3244" w:rsidP="00753360">
            <w:pPr>
              <w:pStyle w:val="NoSpacing"/>
              <w:rPr>
                <w:b/>
              </w:rPr>
            </w:pPr>
            <w:r w:rsidRPr="007C439E">
              <w:rPr>
                <w:b/>
              </w:rPr>
              <w:t>Data Controller(s)</w:t>
            </w:r>
          </w:p>
        </w:tc>
        <w:tc>
          <w:tcPr>
            <w:tcW w:w="7291" w:type="dxa"/>
          </w:tcPr>
          <w:p w14:paraId="2755DAE6" w14:textId="77777777" w:rsidR="000C3244" w:rsidRPr="000C3244" w:rsidRDefault="002367AE" w:rsidP="00C24EB2">
            <w:pPr>
              <w:pStyle w:val="NoSpacing"/>
              <w:rPr>
                <w:rFonts w:asciiTheme="minorHAnsi" w:hAnsiTheme="minorHAnsi"/>
              </w:rPr>
            </w:pPr>
            <w:r>
              <w:rPr>
                <w:rFonts w:asciiTheme="minorHAnsi" w:hAnsiTheme="minorHAnsi"/>
              </w:rPr>
              <w:t>Local Primary Care Network /</w:t>
            </w:r>
            <w:r w:rsidR="00C24EB2" w:rsidRPr="00C24EB2">
              <w:rPr>
                <w:rFonts w:asciiTheme="minorHAnsi" w:hAnsiTheme="minorHAnsi"/>
              </w:rPr>
              <w:t xml:space="preserve">North East Lincolnshire </w:t>
            </w:r>
            <w:r w:rsidRPr="00C24EB2">
              <w:rPr>
                <w:rFonts w:asciiTheme="minorHAnsi" w:hAnsiTheme="minorHAnsi"/>
              </w:rPr>
              <w:t>Clinical Commissioning Group</w:t>
            </w:r>
          </w:p>
        </w:tc>
      </w:tr>
      <w:tr w:rsidR="000C3244" w14:paraId="632EFA41" w14:textId="77777777" w:rsidTr="00EF2EEA">
        <w:tc>
          <w:tcPr>
            <w:tcW w:w="1951" w:type="dxa"/>
          </w:tcPr>
          <w:p w14:paraId="6617EBA3" w14:textId="77777777" w:rsidR="000C3244" w:rsidRPr="007C439E" w:rsidRDefault="000C3244" w:rsidP="00753360">
            <w:pPr>
              <w:pStyle w:val="NoSpacing"/>
              <w:rPr>
                <w:b/>
              </w:rPr>
            </w:pPr>
            <w:r w:rsidRPr="007C439E">
              <w:rPr>
                <w:b/>
              </w:rPr>
              <w:t>Purpose</w:t>
            </w:r>
          </w:p>
        </w:tc>
        <w:tc>
          <w:tcPr>
            <w:tcW w:w="7291" w:type="dxa"/>
          </w:tcPr>
          <w:p w14:paraId="3EB7B484" w14:textId="77777777" w:rsidR="002367AE" w:rsidRDefault="002367AE" w:rsidP="002367AE">
            <w:pPr>
              <w:rPr>
                <w:rFonts w:asciiTheme="minorHAnsi" w:hAnsiTheme="minorHAnsi"/>
              </w:rPr>
            </w:pPr>
            <w:r w:rsidRPr="002367AE">
              <w:rPr>
                <w:rFonts w:asciiTheme="minorHAnsi" w:hAnsiTheme="minorHAnsi"/>
              </w:rPr>
              <w:t xml:space="preserve">Population Health Management (or PHM for short) is aimed at improving the health of an entire population.  It is being implemented across the NHS and </w:t>
            </w:r>
            <w:r w:rsidR="00C24EB2">
              <w:rPr>
                <w:rFonts w:asciiTheme="minorHAnsi" w:hAnsiTheme="minorHAnsi"/>
              </w:rPr>
              <w:t>NEL CCG</w:t>
            </w:r>
            <w:r>
              <w:rPr>
                <w:rFonts w:asciiTheme="minorHAnsi" w:hAnsiTheme="minorHAnsi"/>
              </w:rPr>
              <w:t xml:space="preserve"> </w:t>
            </w:r>
            <w:r w:rsidRPr="002367AE">
              <w:rPr>
                <w:rFonts w:asciiTheme="minorHAnsi" w:hAnsiTheme="minorHAnsi"/>
              </w:rPr>
              <w:t>is taking part in a project extending across the Humber Coast and Vale Health and Care Partnership.</w:t>
            </w:r>
          </w:p>
          <w:p w14:paraId="2894FFCD" w14:textId="77777777" w:rsidR="002367AE" w:rsidRPr="002367AE" w:rsidRDefault="002367AE" w:rsidP="002367AE">
            <w:pPr>
              <w:rPr>
                <w:rFonts w:asciiTheme="minorHAnsi" w:hAnsiTheme="minorHAnsi"/>
              </w:rPr>
            </w:pPr>
            <w:r w:rsidRPr="002367AE">
              <w:rPr>
                <w:rFonts w:asciiTheme="minorHAnsi" w:hAnsiTheme="minorHAnsi"/>
              </w:rPr>
              <w:t>PHM is about improving the physical and mental health outcomes and wellbeing of people and making sure that access to services is fair, timely and equal. It helps to reduce the occurrence of ill-health and looks at all the wider factors that affect health and care.</w:t>
            </w:r>
          </w:p>
          <w:p w14:paraId="772618C3" w14:textId="77777777" w:rsidR="002367AE" w:rsidRPr="002367AE" w:rsidRDefault="002367AE" w:rsidP="002367AE">
            <w:pPr>
              <w:rPr>
                <w:rFonts w:asciiTheme="minorHAnsi" w:hAnsiTheme="minorHAnsi"/>
              </w:rPr>
            </w:pPr>
            <w:r w:rsidRPr="002367AE">
              <w:rPr>
                <w:rFonts w:asciiTheme="minorHAnsi" w:hAnsiTheme="minorHAnsi"/>
              </w:rPr>
              <w:t xml:space="preserve">The PHM approach requires health care organisations to work together with communities and partner agencies, for example, GP practices, community service providers, hospitals and other health and social care providers. </w:t>
            </w:r>
          </w:p>
          <w:p w14:paraId="0B90E103" w14:textId="77777777" w:rsidR="002367AE" w:rsidRDefault="002367AE" w:rsidP="002367AE">
            <w:pPr>
              <w:rPr>
                <w:rFonts w:asciiTheme="minorHAnsi" w:hAnsiTheme="minorHAnsi"/>
              </w:rPr>
            </w:pPr>
            <w:r w:rsidRPr="002367AE">
              <w:rPr>
                <w:rFonts w:asciiTheme="minorHAnsi" w:hAnsiTheme="minorHAnsi"/>
              </w:rPr>
              <w:t xml:space="preserve">These organisations will share and combine information with each other </w:t>
            </w:r>
            <w:proofErr w:type="gramStart"/>
            <w:r w:rsidRPr="002367AE">
              <w:rPr>
                <w:rFonts w:asciiTheme="minorHAnsi" w:hAnsiTheme="minorHAnsi"/>
              </w:rPr>
              <w:t>in order to</w:t>
            </w:r>
            <w:proofErr w:type="gramEnd"/>
            <w:r w:rsidRPr="002367AE">
              <w:rPr>
                <w:rFonts w:asciiTheme="minorHAnsi" w:hAnsiTheme="minorHAnsi"/>
              </w:rPr>
              <w:t xml:space="preserve"> get a view of health and services for the population in a particular area. This information sharing is subject to robust security arrangements.</w:t>
            </w:r>
          </w:p>
          <w:p w14:paraId="5014E06B" w14:textId="77777777" w:rsidR="002367AE" w:rsidRDefault="002367AE" w:rsidP="002367AE">
            <w:pPr>
              <w:rPr>
                <w:rFonts w:asciiTheme="minorHAnsi" w:hAnsiTheme="minorHAnsi"/>
              </w:rPr>
            </w:pPr>
          </w:p>
          <w:p w14:paraId="4BF248C7" w14:textId="77777777" w:rsidR="002367AE" w:rsidRPr="002367AE" w:rsidRDefault="002367AE" w:rsidP="002367AE">
            <w:pPr>
              <w:rPr>
                <w:rFonts w:asciiTheme="minorHAnsi" w:hAnsiTheme="minorHAnsi"/>
              </w:rPr>
            </w:pPr>
            <w:r w:rsidRPr="002367AE">
              <w:rPr>
                <w:rFonts w:asciiTheme="minorHAnsi" w:hAnsiTheme="minorHAnsi"/>
              </w:rPr>
              <w:t xml:space="preserve">If </w:t>
            </w:r>
            <w:r>
              <w:rPr>
                <w:rFonts w:asciiTheme="minorHAnsi" w:hAnsiTheme="minorHAnsi"/>
              </w:rPr>
              <w:t>it is determined</w:t>
            </w:r>
            <w:r w:rsidRPr="002367AE">
              <w:rPr>
                <w:rFonts w:asciiTheme="minorHAnsi" w:hAnsiTheme="minorHAnsi"/>
              </w:rPr>
              <w:t xml:space="preserve"> that an individual might benefit from some additional care or support, the information </w:t>
            </w:r>
            <w:r>
              <w:rPr>
                <w:rFonts w:asciiTheme="minorHAnsi" w:hAnsiTheme="minorHAnsi"/>
              </w:rPr>
              <w:t>will be sent back to</w:t>
            </w:r>
            <w:r w:rsidRPr="002367AE">
              <w:rPr>
                <w:rFonts w:asciiTheme="minorHAnsi" w:hAnsiTheme="minorHAnsi"/>
              </w:rPr>
              <w:t xml:space="preserve"> your GP or hospital provider and they will use the code to identify you and offer you relevant services.</w:t>
            </w:r>
          </w:p>
          <w:p w14:paraId="28DEE751" w14:textId="77777777" w:rsidR="002367AE" w:rsidRPr="002367AE" w:rsidRDefault="002367AE" w:rsidP="002367AE">
            <w:pPr>
              <w:rPr>
                <w:rFonts w:asciiTheme="minorHAnsi" w:hAnsiTheme="minorHAnsi"/>
              </w:rPr>
            </w:pPr>
          </w:p>
          <w:p w14:paraId="0A5CCCEB" w14:textId="77777777" w:rsidR="002367AE" w:rsidRPr="002367AE" w:rsidRDefault="002367AE" w:rsidP="002367AE">
            <w:pPr>
              <w:rPr>
                <w:rFonts w:asciiTheme="minorHAnsi" w:hAnsiTheme="minorHAnsi"/>
              </w:rPr>
            </w:pPr>
            <w:r w:rsidRPr="002367AE">
              <w:rPr>
                <w:rFonts w:asciiTheme="minorHAnsi" w:hAnsiTheme="minorHAnsi"/>
              </w:rPr>
              <w:t xml:space="preserve">Examples of how the information could be used for a number of healthcare related activities </w:t>
            </w:r>
            <w:proofErr w:type="gramStart"/>
            <w:r w:rsidRPr="002367AE">
              <w:rPr>
                <w:rFonts w:asciiTheme="minorHAnsi" w:hAnsiTheme="minorHAnsi"/>
              </w:rPr>
              <w:t>include;</w:t>
            </w:r>
            <w:proofErr w:type="gramEnd"/>
          </w:p>
          <w:p w14:paraId="252E1995" w14:textId="77777777" w:rsidR="002367AE" w:rsidRPr="002367AE" w:rsidRDefault="002367AE" w:rsidP="002367AE">
            <w:pPr>
              <w:rPr>
                <w:rFonts w:asciiTheme="minorHAnsi" w:hAnsiTheme="minorHAnsi"/>
              </w:rPr>
            </w:pPr>
          </w:p>
          <w:p w14:paraId="7498242B" w14:textId="77777777" w:rsidR="002367AE" w:rsidRPr="002367AE" w:rsidRDefault="002367AE" w:rsidP="002367AE">
            <w:pPr>
              <w:pStyle w:val="ListParagraph"/>
              <w:numPr>
                <w:ilvl w:val="0"/>
                <w:numId w:val="6"/>
              </w:numPr>
            </w:pPr>
            <w:r w:rsidRPr="002367AE">
              <w:t>improving the quality and standards of care provided</w:t>
            </w:r>
          </w:p>
          <w:p w14:paraId="0BB08AEC" w14:textId="77777777" w:rsidR="002367AE" w:rsidRPr="002367AE" w:rsidRDefault="002367AE" w:rsidP="002367AE">
            <w:pPr>
              <w:pStyle w:val="ListParagraph"/>
              <w:numPr>
                <w:ilvl w:val="0"/>
                <w:numId w:val="6"/>
              </w:numPr>
            </w:pPr>
            <w:r w:rsidRPr="002367AE">
              <w:t xml:space="preserve">research into the development of new treatments </w:t>
            </w:r>
          </w:p>
          <w:p w14:paraId="0ECE389C" w14:textId="77777777" w:rsidR="002367AE" w:rsidRPr="002367AE" w:rsidRDefault="002367AE" w:rsidP="002367AE">
            <w:pPr>
              <w:pStyle w:val="ListParagraph"/>
              <w:numPr>
                <w:ilvl w:val="0"/>
                <w:numId w:val="6"/>
              </w:numPr>
            </w:pPr>
            <w:r w:rsidRPr="002367AE">
              <w:t>preventing illness and diseases</w:t>
            </w:r>
          </w:p>
          <w:p w14:paraId="185E66FB" w14:textId="77777777" w:rsidR="002367AE" w:rsidRPr="002367AE" w:rsidRDefault="002367AE" w:rsidP="002367AE">
            <w:pPr>
              <w:pStyle w:val="ListParagraph"/>
              <w:numPr>
                <w:ilvl w:val="0"/>
                <w:numId w:val="6"/>
              </w:numPr>
            </w:pPr>
            <w:r w:rsidRPr="002367AE">
              <w:t>monitoring safety</w:t>
            </w:r>
          </w:p>
          <w:p w14:paraId="78A16866" w14:textId="77777777" w:rsidR="00B31EC9" w:rsidRPr="00A5528E" w:rsidRDefault="002367AE" w:rsidP="00C24EB2">
            <w:pPr>
              <w:pStyle w:val="ListParagraph"/>
              <w:numPr>
                <w:ilvl w:val="0"/>
                <w:numId w:val="6"/>
              </w:numPr>
              <w:rPr>
                <w:rFonts w:ascii="FrutigerLTStd-Light" w:hAnsi="FrutigerLTStd-Light" w:cs="FrutigerLTStd-Light"/>
                <w:color w:val="333333"/>
              </w:rPr>
            </w:pPr>
            <w:r w:rsidRPr="002367AE">
              <w:t>planning services</w:t>
            </w:r>
          </w:p>
        </w:tc>
      </w:tr>
      <w:tr w:rsidR="000C3244" w14:paraId="1010AD4D" w14:textId="77777777" w:rsidTr="00EF2EEA">
        <w:tc>
          <w:tcPr>
            <w:tcW w:w="1951" w:type="dxa"/>
          </w:tcPr>
          <w:p w14:paraId="1C436A5B" w14:textId="77777777" w:rsidR="000C3244" w:rsidRPr="007C439E" w:rsidRDefault="000C3244" w:rsidP="00753360">
            <w:pPr>
              <w:pStyle w:val="NoSpacing"/>
              <w:rPr>
                <w:b/>
              </w:rPr>
            </w:pPr>
            <w:r w:rsidRPr="007C439E">
              <w:rPr>
                <w:b/>
              </w:rPr>
              <w:t>Type of information Used</w:t>
            </w:r>
          </w:p>
        </w:tc>
        <w:tc>
          <w:tcPr>
            <w:tcW w:w="7291" w:type="dxa"/>
          </w:tcPr>
          <w:p w14:paraId="6153D742" w14:textId="77777777" w:rsidR="002367AE" w:rsidRPr="002367AE" w:rsidRDefault="002367AE" w:rsidP="002367AE">
            <w:pPr>
              <w:rPr>
                <w:rFonts w:asciiTheme="minorHAnsi" w:hAnsiTheme="minorHAnsi"/>
              </w:rPr>
            </w:pPr>
            <w:r w:rsidRPr="002367AE">
              <w:rPr>
                <w:rFonts w:asciiTheme="minorHAnsi" w:hAnsiTheme="minorHAnsi"/>
              </w:rPr>
              <w:t>The information will include personal data about your health care.  This information will be combined and anything that can identify you (like your name or NHS Number) will be removed and replaced with a unique code.</w:t>
            </w:r>
          </w:p>
          <w:p w14:paraId="6875F3A3" w14:textId="77777777" w:rsidR="00A5138A" w:rsidRPr="000C3244" w:rsidRDefault="002367AE" w:rsidP="002367AE">
            <w:pPr>
              <w:rPr>
                <w:rFonts w:asciiTheme="minorHAnsi" w:hAnsiTheme="minorHAnsi"/>
              </w:rPr>
            </w:pPr>
            <w:r w:rsidRPr="002367AE">
              <w:rPr>
                <w:rFonts w:asciiTheme="minorHAnsi" w:hAnsiTheme="minorHAnsi"/>
              </w:rPr>
              <w:t>This means that the people working with the data will only see the code and cannot see which patient the information relates to.</w:t>
            </w:r>
          </w:p>
        </w:tc>
      </w:tr>
      <w:tr w:rsidR="000C3244" w14:paraId="5DEC823A" w14:textId="77777777" w:rsidTr="00EF2EEA">
        <w:tc>
          <w:tcPr>
            <w:tcW w:w="1951" w:type="dxa"/>
          </w:tcPr>
          <w:p w14:paraId="6AD52AD4" w14:textId="77777777" w:rsidR="000C3244" w:rsidRPr="007C439E" w:rsidRDefault="000C3244" w:rsidP="00753360">
            <w:pPr>
              <w:pStyle w:val="NoSpacing"/>
              <w:rPr>
                <w:b/>
              </w:rPr>
            </w:pPr>
            <w:r w:rsidRPr="007C439E">
              <w:rPr>
                <w:b/>
              </w:rPr>
              <w:t>Legal basis</w:t>
            </w:r>
          </w:p>
        </w:tc>
        <w:tc>
          <w:tcPr>
            <w:tcW w:w="7291" w:type="dxa"/>
          </w:tcPr>
          <w:p w14:paraId="0ED8E847" w14:textId="77777777" w:rsidR="000270CD" w:rsidRDefault="000270CD" w:rsidP="000270CD">
            <w:pPr>
              <w:pStyle w:val="NoSpacing"/>
            </w:pPr>
            <w:r>
              <w:t>GDPR Article 6(1)(e) – processing is necessary for the performance of a task carried out in the exercise of official authority vested in the controller</w:t>
            </w:r>
          </w:p>
          <w:p w14:paraId="32539694" w14:textId="77777777" w:rsidR="002367AE" w:rsidRDefault="002367AE" w:rsidP="00B31EC9">
            <w:pPr>
              <w:pStyle w:val="Default"/>
              <w:rPr>
                <w:rFonts w:asciiTheme="minorHAnsi" w:hAnsiTheme="minorHAnsi"/>
                <w:sz w:val="22"/>
                <w:szCs w:val="22"/>
              </w:rPr>
            </w:pPr>
          </w:p>
          <w:p w14:paraId="4BC47ABD" w14:textId="77777777" w:rsidR="002367AE" w:rsidRPr="002367AE" w:rsidRDefault="002367AE" w:rsidP="00B31EC9">
            <w:pPr>
              <w:pStyle w:val="Default"/>
              <w:rPr>
                <w:rFonts w:asciiTheme="minorHAnsi" w:hAnsiTheme="minorHAnsi"/>
                <w:sz w:val="22"/>
                <w:szCs w:val="22"/>
              </w:rPr>
            </w:pPr>
            <w:r w:rsidRPr="002367AE">
              <w:rPr>
                <w:rFonts w:asciiTheme="minorHAnsi" w:hAnsiTheme="minorHAnsi"/>
                <w:sz w:val="22"/>
                <w:szCs w:val="22"/>
              </w:rPr>
              <w:t>GDPR Article 9(2)(h) processing is necessary for the purposes of the provision of health or social care or treatment or the management of health or social care systems and services.</w:t>
            </w:r>
          </w:p>
          <w:p w14:paraId="4BA58FBB" w14:textId="77777777" w:rsidR="00A5138A" w:rsidRDefault="00A5138A" w:rsidP="00B31EC9">
            <w:pPr>
              <w:pStyle w:val="Default"/>
              <w:rPr>
                <w:rFonts w:asciiTheme="minorHAnsi" w:hAnsiTheme="minorHAnsi"/>
                <w:sz w:val="22"/>
                <w:szCs w:val="22"/>
              </w:rPr>
            </w:pPr>
          </w:p>
          <w:p w14:paraId="2987E86E" w14:textId="77777777" w:rsidR="000C3244" w:rsidRPr="00162435" w:rsidRDefault="00162435" w:rsidP="00A5138A">
            <w:pPr>
              <w:pStyle w:val="Default"/>
              <w:rPr>
                <w:rFonts w:asciiTheme="minorHAnsi" w:hAnsiTheme="minorHAnsi"/>
                <w:sz w:val="22"/>
                <w:szCs w:val="22"/>
              </w:rPr>
            </w:pPr>
            <w:r w:rsidRPr="00162435">
              <w:rPr>
                <w:rFonts w:asciiTheme="minorHAnsi" w:hAnsiTheme="minorHAnsi"/>
                <w:sz w:val="22"/>
                <w:szCs w:val="22"/>
              </w:rPr>
              <w:t xml:space="preserve">Confidential patient information about your health and care is </w:t>
            </w:r>
            <w:r w:rsidRPr="00162435">
              <w:rPr>
                <w:rFonts w:asciiTheme="minorHAnsi" w:hAnsiTheme="minorHAnsi"/>
                <w:b/>
                <w:sz w:val="22"/>
                <w:szCs w:val="22"/>
              </w:rPr>
              <w:t>only used</w:t>
            </w:r>
            <w:r w:rsidRPr="00162435">
              <w:rPr>
                <w:rFonts w:asciiTheme="minorHAnsi" w:hAnsiTheme="minorHAnsi"/>
                <w:sz w:val="22"/>
                <w:szCs w:val="22"/>
              </w:rPr>
              <w:t xml:space="preserve"> like this </w:t>
            </w:r>
            <w:proofErr w:type="gramStart"/>
            <w:r w:rsidRPr="00162435">
              <w:rPr>
                <w:rFonts w:asciiTheme="minorHAnsi" w:hAnsiTheme="minorHAnsi"/>
                <w:sz w:val="22"/>
                <w:szCs w:val="22"/>
              </w:rPr>
              <w:t>where</w:t>
            </w:r>
            <w:proofErr w:type="gramEnd"/>
            <w:r w:rsidRPr="00162435">
              <w:rPr>
                <w:rFonts w:asciiTheme="minorHAnsi" w:hAnsiTheme="minorHAnsi"/>
                <w:sz w:val="22"/>
                <w:szCs w:val="22"/>
              </w:rPr>
              <w:t xml:space="preserve"> allowed by law and, in the majority of cases, anonymised data is used so that you cannot be identified.</w:t>
            </w:r>
          </w:p>
        </w:tc>
      </w:tr>
      <w:tr w:rsidR="000C3244" w14:paraId="56493869" w14:textId="77777777" w:rsidTr="00EF2EEA">
        <w:tc>
          <w:tcPr>
            <w:tcW w:w="1951" w:type="dxa"/>
          </w:tcPr>
          <w:p w14:paraId="554CC2BC" w14:textId="77777777" w:rsidR="000C3244" w:rsidRPr="007C439E" w:rsidRDefault="000C3244" w:rsidP="00753360">
            <w:pPr>
              <w:pStyle w:val="NoSpacing"/>
              <w:rPr>
                <w:b/>
              </w:rPr>
            </w:pPr>
            <w:r w:rsidRPr="007C439E">
              <w:rPr>
                <w:b/>
              </w:rPr>
              <w:t>How we collect (the source) and use the information</w:t>
            </w:r>
          </w:p>
        </w:tc>
        <w:tc>
          <w:tcPr>
            <w:tcW w:w="7291" w:type="dxa"/>
          </w:tcPr>
          <w:p w14:paraId="7CD79410" w14:textId="77777777" w:rsidR="000F4FC1" w:rsidRPr="000F4FC1" w:rsidRDefault="000F4FC1" w:rsidP="000F4FC1">
            <w:pPr>
              <w:rPr>
                <w:rFonts w:asciiTheme="minorHAnsi" w:hAnsiTheme="minorHAnsi"/>
              </w:rPr>
            </w:pPr>
            <w:r w:rsidRPr="000F4FC1">
              <w:rPr>
                <w:rFonts w:asciiTheme="minorHAnsi" w:hAnsiTheme="minorHAnsi"/>
              </w:rPr>
              <w:t xml:space="preserve">Your GP and other care providers will send the information they hold on their systems to the North of England Commissioning Support Unit (NECS).  NECS are part of NHS England. More information can be found here </w:t>
            </w:r>
            <w:hyperlink r:id="rId5" w:history="1">
              <w:r w:rsidRPr="000F4FC1">
                <w:rPr>
                  <w:rStyle w:val="Hyperlink"/>
                  <w:rFonts w:asciiTheme="minorHAnsi" w:hAnsiTheme="minorHAnsi"/>
                </w:rPr>
                <w:t>http://www.necsu.nhs.uk/</w:t>
              </w:r>
            </w:hyperlink>
            <w:r w:rsidRPr="000F4FC1">
              <w:rPr>
                <w:rFonts w:asciiTheme="minorHAnsi" w:hAnsiTheme="minorHAnsi"/>
              </w:rPr>
              <w:t xml:space="preserve"> </w:t>
            </w:r>
          </w:p>
          <w:p w14:paraId="75582DFC" w14:textId="77777777" w:rsidR="000F4FC1" w:rsidRPr="000F4FC1" w:rsidRDefault="000F4FC1" w:rsidP="000F4FC1">
            <w:pPr>
              <w:contextualSpacing/>
              <w:rPr>
                <w:rFonts w:asciiTheme="minorHAnsi" w:hAnsiTheme="minorHAnsi"/>
              </w:rPr>
            </w:pPr>
            <w:r w:rsidRPr="000F4FC1">
              <w:rPr>
                <w:rFonts w:asciiTheme="minorHAnsi" w:hAnsiTheme="minorHAnsi"/>
              </w:rPr>
              <w:lastRenderedPageBreak/>
              <w:t xml:space="preserve">NECS will link all the information together. Your GP and other care providers will then review this information and make decisions about the whole population or </w:t>
            </w:r>
            <w:proofErr w:type="gramStart"/>
            <w:r w:rsidRPr="000F4FC1">
              <w:rPr>
                <w:rFonts w:asciiTheme="minorHAnsi" w:hAnsiTheme="minorHAnsi"/>
              </w:rPr>
              <w:t>particular patients</w:t>
            </w:r>
            <w:proofErr w:type="gramEnd"/>
            <w:r w:rsidRPr="000F4FC1">
              <w:rPr>
                <w:rFonts w:asciiTheme="minorHAnsi" w:hAnsiTheme="minorHAnsi"/>
              </w:rPr>
              <w:t xml:space="preserve"> that might need additional support.</w:t>
            </w:r>
          </w:p>
          <w:p w14:paraId="52E90645" w14:textId="77777777" w:rsidR="000F4FC1" w:rsidRPr="000F4FC1" w:rsidRDefault="000F4FC1" w:rsidP="000F4FC1">
            <w:pPr>
              <w:contextualSpacing/>
              <w:rPr>
                <w:rFonts w:asciiTheme="minorHAnsi" w:hAnsiTheme="minorHAnsi"/>
              </w:rPr>
            </w:pPr>
          </w:p>
          <w:p w14:paraId="50A26A4B" w14:textId="77777777" w:rsidR="000F4FC1" w:rsidRPr="000F4FC1" w:rsidRDefault="000F4FC1" w:rsidP="000F4FC1">
            <w:pPr>
              <w:contextualSpacing/>
              <w:rPr>
                <w:rFonts w:asciiTheme="minorHAnsi" w:hAnsiTheme="minorHAnsi"/>
              </w:rPr>
            </w:pPr>
            <w:r w:rsidRPr="000F4FC1">
              <w:rPr>
                <w:rFonts w:asciiTheme="minorHAnsi" w:hAnsiTheme="minorHAnsi"/>
              </w:rPr>
              <w:t xml:space="preserve">NECS work in partnership with a company called Optum to help them with this work.  Both NECS and Optum are legally obliged to protect your information and maintain confidentiality in the same way that your GP or hospital provider is. More information about Optum can be found here </w:t>
            </w:r>
            <w:hyperlink r:id="rId6" w:history="1">
              <w:r w:rsidRPr="000F4FC1">
                <w:rPr>
                  <w:rStyle w:val="Hyperlink"/>
                  <w:rFonts w:asciiTheme="minorHAnsi" w:hAnsiTheme="minorHAnsi"/>
                </w:rPr>
                <w:t>http://www.optum.co.uk/</w:t>
              </w:r>
            </w:hyperlink>
            <w:r w:rsidRPr="000F4FC1">
              <w:rPr>
                <w:rFonts w:asciiTheme="minorHAnsi" w:hAnsiTheme="minorHAnsi"/>
              </w:rPr>
              <w:t xml:space="preserve"> </w:t>
            </w:r>
          </w:p>
          <w:p w14:paraId="01D4A84D" w14:textId="77777777" w:rsidR="000C3244" w:rsidRPr="000C3244" w:rsidRDefault="000C3244" w:rsidP="002367AE"/>
        </w:tc>
      </w:tr>
      <w:tr w:rsidR="000C3244" w14:paraId="345E6900" w14:textId="77777777" w:rsidTr="00EF2EEA">
        <w:tc>
          <w:tcPr>
            <w:tcW w:w="1951" w:type="dxa"/>
          </w:tcPr>
          <w:p w14:paraId="5205F4F4" w14:textId="77777777" w:rsidR="000C3244" w:rsidRPr="007C439E" w:rsidRDefault="000C3244" w:rsidP="00753360">
            <w:pPr>
              <w:pStyle w:val="NoSpacing"/>
              <w:rPr>
                <w:b/>
              </w:rPr>
            </w:pPr>
            <w:r w:rsidRPr="007C439E">
              <w:rPr>
                <w:b/>
              </w:rPr>
              <w:lastRenderedPageBreak/>
              <w:t>Data Processors</w:t>
            </w:r>
          </w:p>
        </w:tc>
        <w:tc>
          <w:tcPr>
            <w:tcW w:w="7291" w:type="dxa"/>
          </w:tcPr>
          <w:p w14:paraId="49931932" w14:textId="77777777" w:rsidR="000F4FC1" w:rsidRDefault="000F4FC1" w:rsidP="000C3244">
            <w:pPr>
              <w:pStyle w:val="NoSpacing"/>
              <w:rPr>
                <w:rStyle w:val="Hyperlink"/>
                <w:rFonts w:asciiTheme="minorHAnsi" w:hAnsiTheme="minorHAnsi"/>
              </w:rPr>
            </w:pPr>
            <w:r>
              <w:rPr>
                <w:rFonts w:asciiTheme="minorHAnsi" w:hAnsiTheme="minorHAnsi"/>
              </w:rPr>
              <w:t xml:space="preserve">North of England Commissioning Support Unit (NECS) </w:t>
            </w:r>
            <w:hyperlink r:id="rId7" w:history="1">
              <w:r w:rsidRPr="000F4FC1">
                <w:rPr>
                  <w:rStyle w:val="Hyperlink"/>
                  <w:rFonts w:asciiTheme="minorHAnsi" w:hAnsiTheme="minorHAnsi"/>
                </w:rPr>
                <w:t>http://www.necsu.nhs.uk/</w:t>
              </w:r>
            </w:hyperlink>
            <w:r>
              <w:rPr>
                <w:rStyle w:val="Hyperlink"/>
                <w:rFonts w:asciiTheme="minorHAnsi" w:hAnsiTheme="minorHAnsi"/>
              </w:rPr>
              <w:t xml:space="preserve"> </w:t>
            </w:r>
          </w:p>
          <w:p w14:paraId="2B3A63DD" w14:textId="77777777" w:rsidR="000F4FC1" w:rsidRDefault="000F4FC1" w:rsidP="000C3244">
            <w:pPr>
              <w:pStyle w:val="NoSpacing"/>
              <w:rPr>
                <w:rStyle w:val="Hyperlink"/>
                <w:rFonts w:asciiTheme="minorHAnsi" w:hAnsiTheme="minorHAnsi"/>
              </w:rPr>
            </w:pPr>
            <w:r>
              <w:rPr>
                <w:rFonts w:asciiTheme="minorHAnsi" w:hAnsiTheme="minorHAnsi"/>
              </w:rPr>
              <w:t xml:space="preserve">Optum </w:t>
            </w:r>
            <w:hyperlink r:id="rId8" w:history="1">
              <w:r w:rsidRPr="000F4FC1">
                <w:rPr>
                  <w:rStyle w:val="Hyperlink"/>
                  <w:rFonts w:asciiTheme="minorHAnsi" w:hAnsiTheme="minorHAnsi"/>
                </w:rPr>
                <w:t>http://www.optum.co.uk/</w:t>
              </w:r>
            </w:hyperlink>
            <w:r>
              <w:rPr>
                <w:rStyle w:val="Hyperlink"/>
                <w:rFonts w:asciiTheme="minorHAnsi" w:hAnsiTheme="minorHAnsi"/>
              </w:rPr>
              <w:t xml:space="preserve"> </w:t>
            </w:r>
          </w:p>
          <w:p w14:paraId="7A15E0CF" w14:textId="77777777" w:rsidR="000F4FC1" w:rsidRPr="000C3244" w:rsidRDefault="00C24EB2" w:rsidP="00C24EB2">
            <w:pPr>
              <w:pStyle w:val="NoSpacing"/>
              <w:rPr>
                <w:rFonts w:asciiTheme="minorHAnsi" w:hAnsiTheme="minorHAnsi"/>
              </w:rPr>
            </w:pPr>
            <w:r w:rsidRPr="00C24EB2">
              <w:rPr>
                <w:rFonts w:asciiTheme="minorHAnsi" w:hAnsiTheme="minorHAnsi"/>
              </w:rPr>
              <w:t xml:space="preserve">North East Lincolnshire </w:t>
            </w:r>
            <w:r w:rsidR="000F4FC1" w:rsidRPr="00C24EB2">
              <w:rPr>
                <w:rFonts w:asciiTheme="minorHAnsi" w:hAnsiTheme="minorHAnsi"/>
              </w:rPr>
              <w:t>Clinical Commissioning Group (No identifiable data will be processed by the CCG).</w:t>
            </w:r>
          </w:p>
        </w:tc>
      </w:tr>
      <w:tr w:rsidR="000C3244" w14:paraId="0FB8223D" w14:textId="77777777" w:rsidTr="00EF2EEA">
        <w:tc>
          <w:tcPr>
            <w:tcW w:w="1951" w:type="dxa"/>
          </w:tcPr>
          <w:p w14:paraId="24EEEBF6" w14:textId="77777777" w:rsidR="000C3244" w:rsidRPr="007C439E" w:rsidRDefault="000C3244" w:rsidP="00753360">
            <w:pPr>
              <w:pStyle w:val="NoSpacing"/>
              <w:rPr>
                <w:b/>
              </w:rPr>
            </w:pPr>
            <w:r>
              <w:rPr>
                <w:b/>
              </w:rPr>
              <w:t xml:space="preserve">Transfers of Data Overseas </w:t>
            </w:r>
          </w:p>
        </w:tc>
        <w:tc>
          <w:tcPr>
            <w:tcW w:w="7291" w:type="dxa"/>
          </w:tcPr>
          <w:p w14:paraId="7CDEF05D" w14:textId="77777777" w:rsidR="000C3244" w:rsidRPr="000C3244" w:rsidRDefault="000F4FC1" w:rsidP="000C3244">
            <w:pPr>
              <w:pStyle w:val="NoSpacing"/>
              <w:rPr>
                <w:rFonts w:asciiTheme="minorHAnsi" w:hAnsiTheme="minorHAnsi"/>
              </w:rPr>
            </w:pPr>
            <w:r>
              <w:rPr>
                <w:rFonts w:asciiTheme="minorHAnsi" w:hAnsiTheme="minorHAnsi"/>
              </w:rPr>
              <w:t xml:space="preserve">Data is not transferred overseas. </w:t>
            </w:r>
          </w:p>
        </w:tc>
      </w:tr>
      <w:tr w:rsidR="000C3244" w14:paraId="2CC20746" w14:textId="77777777" w:rsidTr="00EF2EEA">
        <w:tc>
          <w:tcPr>
            <w:tcW w:w="1951" w:type="dxa"/>
          </w:tcPr>
          <w:p w14:paraId="26063AC7" w14:textId="77777777" w:rsidR="000C3244" w:rsidRPr="007C439E" w:rsidRDefault="000C3244" w:rsidP="00753360">
            <w:pPr>
              <w:pStyle w:val="NoSpacing"/>
              <w:rPr>
                <w:b/>
              </w:rPr>
            </w:pPr>
            <w:r w:rsidRPr="007C439E">
              <w:rPr>
                <w:b/>
              </w:rPr>
              <w:t>Your Rights</w:t>
            </w:r>
          </w:p>
        </w:tc>
        <w:tc>
          <w:tcPr>
            <w:tcW w:w="7291" w:type="dxa"/>
          </w:tcPr>
          <w:p w14:paraId="5809BC1C" w14:textId="77777777" w:rsidR="000C3244" w:rsidRPr="000C3244" w:rsidRDefault="000C3244" w:rsidP="000C3244">
            <w:pPr>
              <w:pStyle w:val="Default"/>
              <w:rPr>
                <w:rFonts w:asciiTheme="minorHAnsi" w:hAnsiTheme="minorHAnsi"/>
                <w:sz w:val="22"/>
                <w:szCs w:val="22"/>
              </w:rPr>
            </w:pPr>
            <w:r w:rsidRPr="000C3244">
              <w:rPr>
                <w:rFonts w:asciiTheme="minorHAnsi" w:hAnsiTheme="minorHAnsi"/>
                <w:sz w:val="22"/>
                <w:szCs w:val="22"/>
              </w:rPr>
              <w:t xml:space="preserve">With regards to your data being processed under GDPR you have the right: </w:t>
            </w:r>
          </w:p>
          <w:p w14:paraId="08825385" w14:textId="77777777" w:rsidR="000C3244" w:rsidRPr="000C3244" w:rsidRDefault="000C3244" w:rsidP="00342899">
            <w:pPr>
              <w:pStyle w:val="Default"/>
              <w:numPr>
                <w:ilvl w:val="0"/>
                <w:numId w:val="4"/>
              </w:numPr>
              <w:rPr>
                <w:rFonts w:asciiTheme="minorHAnsi" w:hAnsiTheme="minorHAnsi"/>
                <w:sz w:val="22"/>
                <w:szCs w:val="22"/>
              </w:rPr>
            </w:pPr>
            <w:r w:rsidRPr="000C3244">
              <w:rPr>
                <w:rFonts w:asciiTheme="minorHAnsi" w:hAnsiTheme="minorHAnsi"/>
                <w:sz w:val="22"/>
                <w:szCs w:val="22"/>
              </w:rPr>
              <w:t xml:space="preserve">To be informed about the processing of your information (this notice) </w:t>
            </w:r>
          </w:p>
          <w:p w14:paraId="0ACAC486" w14:textId="77777777" w:rsidR="000C3244" w:rsidRPr="000C3244" w:rsidRDefault="000C3244" w:rsidP="00342899">
            <w:pPr>
              <w:pStyle w:val="Default"/>
              <w:numPr>
                <w:ilvl w:val="0"/>
                <w:numId w:val="4"/>
              </w:numPr>
              <w:rPr>
                <w:rFonts w:asciiTheme="minorHAnsi" w:hAnsiTheme="minorHAnsi"/>
                <w:sz w:val="22"/>
                <w:szCs w:val="22"/>
              </w:rPr>
            </w:pPr>
            <w:r w:rsidRPr="000C3244">
              <w:rPr>
                <w:rFonts w:asciiTheme="minorHAnsi" w:hAnsiTheme="minorHAnsi"/>
                <w:sz w:val="22"/>
                <w:szCs w:val="22"/>
              </w:rPr>
              <w:t xml:space="preserve">Of access to the information held about you </w:t>
            </w:r>
          </w:p>
          <w:p w14:paraId="1FE20CCB" w14:textId="77777777" w:rsidR="000C3244" w:rsidRDefault="000C3244" w:rsidP="00342899">
            <w:pPr>
              <w:pStyle w:val="Default"/>
              <w:numPr>
                <w:ilvl w:val="0"/>
                <w:numId w:val="4"/>
              </w:numPr>
              <w:rPr>
                <w:rFonts w:asciiTheme="minorHAnsi" w:hAnsiTheme="minorHAnsi"/>
                <w:sz w:val="22"/>
                <w:szCs w:val="22"/>
              </w:rPr>
            </w:pPr>
            <w:r w:rsidRPr="000C3244">
              <w:rPr>
                <w:rFonts w:asciiTheme="minorHAnsi" w:hAnsiTheme="minorHAnsi"/>
                <w:sz w:val="22"/>
                <w:szCs w:val="22"/>
              </w:rPr>
              <w:t xml:space="preserve">To have the information corrected </w:t>
            </w:r>
            <w:proofErr w:type="gramStart"/>
            <w:r w:rsidRPr="000C3244">
              <w:rPr>
                <w:rFonts w:asciiTheme="minorHAnsi" w:hAnsiTheme="minorHAnsi"/>
                <w:sz w:val="22"/>
                <w:szCs w:val="22"/>
              </w:rPr>
              <w:t>in the event that</w:t>
            </w:r>
            <w:proofErr w:type="gramEnd"/>
            <w:r w:rsidRPr="000C3244">
              <w:rPr>
                <w:rFonts w:asciiTheme="minorHAnsi" w:hAnsiTheme="minorHAnsi"/>
                <w:sz w:val="22"/>
                <w:szCs w:val="22"/>
              </w:rPr>
              <w:t xml:space="preserve"> it is inaccurate</w:t>
            </w:r>
            <w:r w:rsidR="000865E8">
              <w:rPr>
                <w:rFonts w:asciiTheme="minorHAnsi" w:hAnsiTheme="minorHAnsi"/>
                <w:sz w:val="22"/>
                <w:szCs w:val="22"/>
              </w:rPr>
              <w:t>.</w:t>
            </w:r>
          </w:p>
          <w:p w14:paraId="3E117F7E" w14:textId="77777777" w:rsidR="00162435" w:rsidRDefault="00162435" w:rsidP="00342899">
            <w:pPr>
              <w:pStyle w:val="Default"/>
              <w:numPr>
                <w:ilvl w:val="0"/>
                <w:numId w:val="4"/>
              </w:numPr>
              <w:rPr>
                <w:rFonts w:asciiTheme="minorHAnsi" w:hAnsiTheme="minorHAnsi"/>
                <w:sz w:val="22"/>
                <w:szCs w:val="22"/>
              </w:rPr>
            </w:pPr>
            <w:r>
              <w:rPr>
                <w:rFonts w:asciiTheme="minorHAnsi" w:hAnsiTheme="minorHAnsi"/>
                <w:sz w:val="22"/>
                <w:szCs w:val="22"/>
              </w:rPr>
              <w:t>Right not to be subject to solely automated decision making or profiling.</w:t>
            </w:r>
          </w:p>
          <w:p w14:paraId="4054E402" w14:textId="77777777" w:rsidR="000C3244" w:rsidRDefault="000C3244" w:rsidP="000C3244">
            <w:pPr>
              <w:pStyle w:val="Default"/>
              <w:numPr>
                <w:ilvl w:val="0"/>
                <w:numId w:val="3"/>
              </w:numPr>
              <w:rPr>
                <w:rFonts w:asciiTheme="minorHAnsi" w:hAnsiTheme="minorHAnsi"/>
                <w:sz w:val="22"/>
                <w:szCs w:val="22"/>
              </w:rPr>
            </w:pPr>
            <w:r w:rsidRPr="00342899">
              <w:rPr>
                <w:rFonts w:asciiTheme="minorHAnsi" w:hAnsiTheme="minorHAnsi"/>
                <w:sz w:val="22"/>
                <w:szCs w:val="22"/>
              </w:rPr>
              <w:t>To be notified of data breaches</w:t>
            </w:r>
          </w:p>
          <w:p w14:paraId="13BBF566" w14:textId="77777777" w:rsidR="00162435" w:rsidRPr="00162435" w:rsidRDefault="00162435" w:rsidP="00162435">
            <w:pPr>
              <w:pStyle w:val="Default"/>
              <w:numPr>
                <w:ilvl w:val="0"/>
                <w:numId w:val="3"/>
              </w:numPr>
              <w:rPr>
                <w:rFonts w:asciiTheme="minorHAnsi" w:hAnsiTheme="minorHAnsi"/>
                <w:sz w:val="22"/>
                <w:szCs w:val="22"/>
              </w:rPr>
            </w:pPr>
            <w:r w:rsidRPr="00162435">
              <w:rPr>
                <w:rFonts w:asciiTheme="minorHAnsi" w:hAnsiTheme="minorHAnsi"/>
                <w:sz w:val="22"/>
                <w:szCs w:val="22"/>
              </w:rPr>
              <w:t>You have a right to object to your personal information being used in this way.  If you do choose to ‘opt out’ please contact your GP in the first instance.  If you are happy for your personal information to be used as part of this project then you do not need to do anything further, although you do have the right to change your mind at any time</w:t>
            </w:r>
          </w:p>
        </w:tc>
      </w:tr>
      <w:tr w:rsidR="000C3244" w14:paraId="47E2299E" w14:textId="77777777" w:rsidTr="00EF2EEA">
        <w:tc>
          <w:tcPr>
            <w:tcW w:w="1951" w:type="dxa"/>
          </w:tcPr>
          <w:p w14:paraId="2A9DCB44" w14:textId="77777777" w:rsidR="000C3244" w:rsidRPr="007C439E" w:rsidRDefault="000C3244" w:rsidP="00753360">
            <w:pPr>
              <w:pStyle w:val="NoSpacing"/>
              <w:rPr>
                <w:b/>
              </w:rPr>
            </w:pPr>
            <w:r w:rsidRPr="007C439E">
              <w:rPr>
                <w:b/>
              </w:rPr>
              <w:t>How long we will keep the information</w:t>
            </w:r>
          </w:p>
        </w:tc>
        <w:tc>
          <w:tcPr>
            <w:tcW w:w="7291" w:type="dxa"/>
          </w:tcPr>
          <w:p w14:paraId="028BCA72" w14:textId="77777777" w:rsidR="00C24EB2" w:rsidRPr="000C3244" w:rsidRDefault="00162435" w:rsidP="00C24EB2">
            <w:pPr>
              <w:pStyle w:val="NoSpacing"/>
              <w:rPr>
                <w:rFonts w:asciiTheme="minorHAnsi" w:hAnsiTheme="minorHAnsi"/>
              </w:rPr>
            </w:pPr>
            <w:r w:rsidRPr="00470EFB">
              <w:rPr>
                <w:rFonts w:eastAsiaTheme="minorHAnsi" w:cstheme="minorHAnsi"/>
              </w:rPr>
              <w:t>Optum will delete data on completion of the 20-week programme</w:t>
            </w:r>
            <w:r>
              <w:rPr>
                <w:rFonts w:eastAsiaTheme="minorHAnsi" w:cstheme="minorHAnsi"/>
              </w:rPr>
              <w:t xml:space="preserve"> and</w:t>
            </w:r>
            <w:r w:rsidRPr="00470EFB">
              <w:rPr>
                <w:rFonts w:eastAsiaTheme="minorHAnsi" w:cstheme="minorHAnsi"/>
              </w:rPr>
              <w:t xml:space="preserve"> will send a data destruction certificate to all data controllers. NECS Data will be destroyed at the end of the </w:t>
            </w:r>
            <w:proofErr w:type="gramStart"/>
            <w:r w:rsidRPr="00470EFB">
              <w:rPr>
                <w:rFonts w:eastAsiaTheme="minorHAnsi" w:cstheme="minorHAnsi"/>
              </w:rPr>
              <w:t>20 week</w:t>
            </w:r>
            <w:proofErr w:type="gramEnd"/>
            <w:r w:rsidRPr="00470EFB">
              <w:rPr>
                <w:rFonts w:eastAsiaTheme="minorHAnsi" w:cstheme="minorHAnsi"/>
              </w:rPr>
              <w:t xml:space="preserve"> programme.  Disposal will involve deletion of the dataset and relevant encryption keys, and the production of a data destruction certificate</w:t>
            </w:r>
            <w:r>
              <w:rPr>
                <w:rFonts w:eastAsiaTheme="minorHAnsi" w:cstheme="minorHAnsi"/>
              </w:rPr>
              <w:t>.</w:t>
            </w:r>
          </w:p>
        </w:tc>
      </w:tr>
      <w:tr w:rsidR="000C3244" w14:paraId="31EED6EC" w14:textId="77777777" w:rsidTr="00EF2EEA">
        <w:tc>
          <w:tcPr>
            <w:tcW w:w="1951" w:type="dxa"/>
          </w:tcPr>
          <w:p w14:paraId="4A6360B3" w14:textId="77777777" w:rsidR="000C3244" w:rsidRPr="007C439E" w:rsidRDefault="000C3244" w:rsidP="00753360">
            <w:pPr>
              <w:pStyle w:val="NoSpacing"/>
              <w:rPr>
                <w:b/>
              </w:rPr>
            </w:pPr>
            <w:r w:rsidRPr="007C439E">
              <w:rPr>
                <w:b/>
              </w:rPr>
              <w:t>Who we will share the information with (recipients)</w:t>
            </w:r>
          </w:p>
        </w:tc>
        <w:tc>
          <w:tcPr>
            <w:tcW w:w="7291" w:type="dxa"/>
          </w:tcPr>
          <w:p w14:paraId="61819CC0" w14:textId="77777777" w:rsidR="00162435" w:rsidRDefault="00162435" w:rsidP="00162435">
            <w:pPr>
              <w:tabs>
                <w:tab w:val="left" w:pos="4565"/>
              </w:tabs>
            </w:pPr>
            <w:r>
              <w:t>North of England Commissioning Support Unit (NECS)</w:t>
            </w:r>
          </w:p>
          <w:p w14:paraId="446756E7" w14:textId="77777777" w:rsidR="00162435" w:rsidRDefault="00162435" w:rsidP="00162435">
            <w:pPr>
              <w:tabs>
                <w:tab w:val="left" w:pos="4565"/>
              </w:tabs>
            </w:pPr>
            <w:r>
              <w:t>Optum</w:t>
            </w:r>
          </w:p>
          <w:p w14:paraId="4B7DBE00" w14:textId="77777777" w:rsidR="000C3244" w:rsidRPr="000865E8" w:rsidRDefault="00162435" w:rsidP="00162435">
            <w:pPr>
              <w:tabs>
                <w:tab w:val="left" w:pos="4565"/>
              </w:tabs>
            </w:pPr>
            <w:r>
              <w:t>Your GP or Hospital Provider</w:t>
            </w:r>
            <w:r w:rsidR="000865E8">
              <w:tab/>
            </w:r>
          </w:p>
        </w:tc>
      </w:tr>
    </w:tbl>
    <w:p w14:paraId="32B7FC2B" w14:textId="77777777" w:rsidR="000C3244" w:rsidRDefault="000C3244" w:rsidP="000C3244"/>
    <w:p w14:paraId="5751CEB1" w14:textId="77777777" w:rsidR="0066134A" w:rsidRDefault="0066134A"/>
    <w:sectPr w:rsidR="00661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2FEB"/>
    <w:multiLevelType w:val="hybridMultilevel"/>
    <w:tmpl w:val="2BC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13365"/>
    <w:multiLevelType w:val="hybridMultilevel"/>
    <w:tmpl w:val="A0E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73EB"/>
    <w:multiLevelType w:val="hybridMultilevel"/>
    <w:tmpl w:val="C06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60BBE"/>
    <w:multiLevelType w:val="hybridMultilevel"/>
    <w:tmpl w:val="48EA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E53C4"/>
    <w:multiLevelType w:val="hybridMultilevel"/>
    <w:tmpl w:val="E6CEF7E4"/>
    <w:lvl w:ilvl="0" w:tplc="0556166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44"/>
    <w:rsid w:val="000270CD"/>
    <w:rsid w:val="0007759C"/>
    <w:rsid w:val="000865E8"/>
    <w:rsid w:val="000C3244"/>
    <w:rsid w:val="000F4FC1"/>
    <w:rsid w:val="00125B78"/>
    <w:rsid w:val="00162435"/>
    <w:rsid w:val="002367AE"/>
    <w:rsid w:val="002416E1"/>
    <w:rsid w:val="0024414F"/>
    <w:rsid w:val="00273367"/>
    <w:rsid w:val="00342899"/>
    <w:rsid w:val="00387BBC"/>
    <w:rsid w:val="0066134A"/>
    <w:rsid w:val="006F4AEB"/>
    <w:rsid w:val="006F6BE6"/>
    <w:rsid w:val="00820F05"/>
    <w:rsid w:val="00822904"/>
    <w:rsid w:val="00A20AEC"/>
    <w:rsid w:val="00A5138A"/>
    <w:rsid w:val="00A5528E"/>
    <w:rsid w:val="00B31EC9"/>
    <w:rsid w:val="00B60F0A"/>
    <w:rsid w:val="00BD500B"/>
    <w:rsid w:val="00C24EB2"/>
    <w:rsid w:val="00CB3194"/>
    <w:rsid w:val="00EF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7150"/>
  <w15:docId w15:val="{53ECC9D1-50D2-40C4-B152-BD4A2123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44"/>
    <w:rPr>
      <w:rFonts w:ascii="Calibri" w:eastAsia="Calibri" w:hAnsi="Calibri" w:cs="Times New Roman"/>
    </w:rPr>
  </w:style>
  <w:style w:type="paragraph" w:styleId="Heading1">
    <w:name w:val="heading 1"/>
    <w:basedOn w:val="Normal"/>
    <w:next w:val="Normal"/>
    <w:link w:val="Heading1Char"/>
    <w:uiPriority w:val="9"/>
    <w:qFormat/>
    <w:rsid w:val="000C32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C3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44"/>
    <w:rPr>
      <w:rFonts w:ascii="Cambria" w:eastAsia="Times New Roman" w:hAnsi="Cambria" w:cs="Times New Roman"/>
      <w:b/>
      <w:bCs/>
      <w:kern w:val="32"/>
      <w:sz w:val="32"/>
      <w:szCs w:val="32"/>
    </w:rPr>
  </w:style>
  <w:style w:type="paragraph" w:styleId="NoSpacing">
    <w:name w:val="No Spacing"/>
    <w:uiPriority w:val="1"/>
    <w:qFormat/>
    <w:rsid w:val="000C3244"/>
    <w:pPr>
      <w:spacing w:after="0" w:line="240" w:lineRule="auto"/>
    </w:pPr>
    <w:rPr>
      <w:rFonts w:ascii="Calibri" w:eastAsia="Calibri" w:hAnsi="Calibri" w:cs="Times New Roman"/>
    </w:rPr>
  </w:style>
  <w:style w:type="character" w:styleId="Hyperlink">
    <w:name w:val="Hyperlink"/>
    <w:uiPriority w:val="99"/>
    <w:unhideWhenUsed/>
    <w:rsid w:val="000C3244"/>
    <w:rPr>
      <w:color w:val="0000FF"/>
      <w:u w:val="single"/>
    </w:rPr>
  </w:style>
  <w:style w:type="character" w:customStyle="1" w:styleId="Heading2Char">
    <w:name w:val="Heading 2 Char"/>
    <w:basedOn w:val="DefaultParagraphFont"/>
    <w:link w:val="Heading2"/>
    <w:uiPriority w:val="9"/>
    <w:semiHidden/>
    <w:rsid w:val="000C3244"/>
    <w:rPr>
      <w:rFonts w:asciiTheme="majorHAnsi" w:eastAsiaTheme="majorEastAsia" w:hAnsiTheme="majorHAnsi" w:cstheme="majorBidi"/>
      <w:b/>
      <w:bCs/>
      <w:color w:val="4F81BD" w:themeColor="accent1"/>
      <w:sz w:val="26"/>
      <w:szCs w:val="26"/>
    </w:rPr>
  </w:style>
  <w:style w:type="paragraph" w:customStyle="1" w:styleId="Default">
    <w:name w:val="Default"/>
    <w:rsid w:val="000C324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342899"/>
    <w:rPr>
      <w:sz w:val="16"/>
      <w:szCs w:val="16"/>
    </w:rPr>
  </w:style>
  <w:style w:type="paragraph" w:styleId="CommentText">
    <w:name w:val="annotation text"/>
    <w:basedOn w:val="Normal"/>
    <w:link w:val="CommentTextChar"/>
    <w:uiPriority w:val="99"/>
    <w:semiHidden/>
    <w:unhideWhenUsed/>
    <w:rsid w:val="00342899"/>
    <w:pPr>
      <w:spacing w:line="240" w:lineRule="auto"/>
    </w:pPr>
    <w:rPr>
      <w:sz w:val="20"/>
      <w:szCs w:val="20"/>
    </w:rPr>
  </w:style>
  <w:style w:type="character" w:customStyle="1" w:styleId="CommentTextChar">
    <w:name w:val="Comment Text Char"/>
    <w:basedOn w:val="DefaultParagraphFont"/>
    <w:link w:val="CommentText"/>
    <w:uiPriority w:val="99"/>
    <w:semiHidden/>
    <w:rsid w:val="003428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2899"/>
    <w:rPr>
      <w:b/>
      <w:bCs/>
    </w:rPr>
  </w:style>
  <w:style w:type="character" w:customStyle="1" w:styleId="CommentSubjectChar">
    <w:name w:val="Comment Subject Char"/>
    <w:basedOn w:val="CommentTextChar"/>
    <w:link w:val="CommentSubject"/>
    <w:uiPriority w:val="99"/>
    <w:semiHidden/>
    <w:rsid w:val="003428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99"/>
    <w:rPr>
      <w:rFonts w:ascii="Tahoma" w:eastAsia="Calibri" w:hAnsi="Tahoma" w:cs="Tahoma"/>
      <w:sz w:val="16"/>
      <w:szCs w:val="16"/>
    </w:rPr>
  </w:style>
  <w:style w:type="paragraph" w:styleId="NormalWeb">
    <w:name w:val="Normal (Web)"/>
    <w:basedOn w:val="Normal"/>
    <w:uiPriority w:val="99"/>
    <w:unhideWhenUsed/>
    <w:rsid w:val="00125B78"/>
    <w:pPr>
      <w:spacing w:before="100" w:beforeAutospacing="1" w:after="450" w:line="398" w:lineRule="atLeast"/>
    </w:pPr>
    <w:rPr>
      <w:rFonts w:ascii="Times New Roman" w:eastAsia="Times New Roman" w:hAnsi="Times New Roman"/>
      <w:color w:val="3D3D3D"/>
      <w:sz w:val="24"/>
      <w:szCs w:val="24"/>
      <w:lang w:eastAsia="en-GB"/>
    </w:rPr>
  </w:style>
  <w:style w:type="character" w:styleId="Strong">
    <w:name w:val="Strong"/>
    <w:basedOn w:val="DefaultParagraphFont"/>
    <w:uiPriority w:val="22"/>
    <w:qFormat/>
    <w:rsid w:val="00A5138A"/>
    <w:rPr>
      <w:b/>
      <w:bCs/>
    </w:rPr>
  </w:style>
  <w:style w:type="paragraph" w:styleId="ListParagraph">
    <w:name w:val="List Paragraph"/>
    <w:basedOn w:val="Normal"/>
    <w:uiPriority w:val="34"/>
    <w:qFormat/>
    <w:rsid w:val="002367AE"/>
    <w:pPr>
      <w:ind w:left="720"/>
      <w:contextualSpacing/>
    </w:pPr>
    <w:rPr>
      <w:rFonts w:asciiTheme="minorHAnsi" w:eastAsiaTheme="minorHAnsi" w:hAnsiTheme="minorHAnsi" w:cstheme="minorBidi"/>
    </w:rPr>
  </w:style>
  <w:style w:type="table" w:styleId="TableGridLight">
    <w:name w:val="Grid Table Light"/>
    <w:basedOn w:val="TableNormal"/>
    <w:uiPriority w:val="40"/>
    <w:rsid w:val="00EF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49427">
      <w:bodyDiv w:val="1"/>
      <w:marLeft w:val="0"/>
      <w:marRight w:val="0"/>
      <w:marTop w:val="0"/>
      <w:marBottom w:val="0"/>
      <w:divBdr>
        <w:top w:val="none" w:sz="0" w:space="0" w:color="auto"/>
        <w:left w:val="none" w:sz="0" w:space="0" w:color="auto"/>
        <w:bottom w:val="none" w:sz="0" w:space="0" w:color="auto"/>
        <w:right w:val="none" w:sz="0" w:space="0" w:color="auto"/>
      </w:divBdr>
      <w:divsChild>
        <w:div w:id="1645695688">
          <w:marLeft w:val="0"/>
          <w:marRight w:val="0"/>
          <w:marTop w:val="0"/>
          <w:marBottom w:val="0"/>
          <w:divBdr>
            <w:top w:val="none" w:sz="0" w:space="0" w:color="auto"/>
            <w:left w:val="none" w:sz="0" w:space="0" w:color="auto"/>
            <w:bottom w:val="none" w:sz="0" w:space="0" w:color="auto"/>
            <w:right w:val="none" w:sz="0" w:space="0" w:color="auto"/>
          </w:divBdr>
          <w:divsChild>
            <w:div w:id="284702666">
              <w:marLeft w:val="0"/>
              <w:marRight w:val="0"/>
              <w:marTop w:val="0"/>
              <w:marBottom w:val="0"/>
              <w:divBdr>
                <w:top w:val="none" w:sz="0" w:space="0" w:color="auto"/>
                <w:left w:val="none" w:sz="0" w:space="0" w:color="auto"/>
                <w:bottom w:val="none" w:sz="0" w:space="0" w:color="auto"/>
                <w:right w:val="none" w:sz="0" w:space="0" w:color="auto"/>
              </w:divBdr>
              <w:divsChild>
                <w:div w:id="2029912311">
                  <w:marLeft w:val="0"/>
                  <w:marRight w:val="0"/>
                  <w:marTop w:val="0"/>
                  <w:marBottom w:val="0"/>
                  <w:divBdr>
                    <w:top w:val="none" w:sz="0" w:space="0" w:color="auto"/>
                    <w:left w:val="none" w:sz="0" w:space="0" w:color="auto"/>
                    <w:bottom w:val="none" w:sz="0" w:space="0" w:color="auto"/>
                    <w:right w:val="none" w:sz="0" w:space="0" w:color="auto"/>
                  </w:divBdr>
                  <w:divsChild>
                    <w:div w:id="1107501045">
                      <w:marLeft w:val="0"/>
                      <w:marRight w:val="0"/>
                      <w:marTop w:val="0"/>
                      <w:marBottom w:val="0"/>
                      <w:divBdr>
                        <w:top w:val="none" w:sz="0" w:space="0" w:color="auto"/>
                        <w:left w:val="none" w:sz="0" w:space="0" w:color="auto"/>
                        <w:bottom w:val="none" w:sz="0" w:space="0" w:color="auto"/>
                        <w:right w:val="none" w:sz="0" w:space="0" w:color="auto"/>
                      </w:divBdr>
                      <w:divsChild>
                        <w:div w:id="261033082">
                          <w:marLeft w:val="0"/>
                          <w:marRight w:val="0"/>
                          <w:marTop w:val="300"/>
                          <w:marBottom w:val="300"/>
                          <w:divBdr>
                            <w:top w:val="none" w:sz="0" w:space="0" w:color="auto"/>
                            <w:left w:val="none" w:sz="0" w:space="0" w:color="auto"/>
                            <w:bottom w:val="none" w:sz="0" w:space="0" w:color="auto"/>
                            <w:right w:val="none" w:sz="0" w:space="0" w:color="auto"/>
                          </w:divBdr>
                          <w:divsChild>
                            <w:div w:id="1050689060">
                              <w:marLeft w:val="0"/>
                              <w:marRight w:val="0"/>
                              <w:marTop w:val="0"/>
                              <w:marBottom w:val="0"/>
                              <w:divBdr>
                                <w:top w:val="none" w:sz="0" w:space="0" w:color="auto"/>
                                <w:left w:val="none" w:sz="0" w:space="0" w:color="auto"/>
                                <w:bottom w:val="none" w:sz="0" w:space="0" w:color="auto"/>
                                <w:right w:val="none" w:sz="0" w:space="0" w:color="auto"/>
                              </w:divBdr>
                              <w:divsChild>
                                <w:div w:id="2122987192">
                                  <w:marLeft w:val="0"/>
                                  <w:marRight w:val="0"/>
                                  <w:marTop w:val="0"/>
                                  <w:marBottom w:val="0"/>
                                  <w:divBdr>
                                    <w:top w:val="none" w:sz="0" w:space="0" w:color="auto"/>
                                    <w:left w:val="none" w:sz="0" w:space="0" w:color="auto"/>
                                    <w:bottom w:val="none" w:sz="0" w:space="0" w:color="auto"/>
                                    <w:right w:val="none" w:sz="0" w:space="0" w:color="auto"/>
                                  </w:divBdr>
                                  <w:divsChild>
                                    <w:div w:id="536940445">
                                      <w:marLeft w:val="0"/>
                                      <w:marRight w:val="0"/>
                                      <w:marTop w:val="0"/>
                                      <w:marBottom w:val="0"/>
                                      <w:divBdr>
                                        <w:top w:val="none" w:sz="0" w:space="0" w:color="auto"/>
                                        <w:left w:val="none" w:sz="0" w:space="0" w:color="auto"/>
                                        <w:bottom w:val="none" w:sz="0" w:space="0" w:color="auto"/>
                                        <w:right w:val="none" w:sz="0" w:space="0" w:color="auto"/>
                                      </w:divBdr>
                                      <w:divsChild>
                                        <w:div w:id="3499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um.co.uk/" TargetMode="External"/><Relationship Id="rId3" Type="http://schemas.openxmlformats.org/officeDocument/2006/relationships/settings" Target="settings.xml"/><Relationship Id="rId7" Type="http://schemas.openxmlformats.org/officeDocument/2006/relationships/hyperlink" Target="http://www.necsu.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um.co.uk/" TargetMode="External"/><Relationship Id="rId5" Type="http://schemas.openxmlformats.org/officeDocument/2006/relationships/hyperlink" Target="http://www.necsu.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2021-09-09T18:06:00Z</dcterms:created>
  <dcterms:modified xsi:type="dcterms:W3CDTF">2021-09-09T18:06:00Z</dcterms:modified>
</cp:coreProperties>
</file>