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3AD4B" w14:textId="77777777" w:rsidR="0008392A" w:rsidRPr="0008392A" w:rsidRDefault="0008392A" w:rsidP="0008392A">
      <w:pPr>
        <w:keepNext/>
        <w:spacing w:before="240" w:after="60"/>
        <w:outlineLvl w:val="0"/>
        <w:rPr>
          <w:rFonts w:ascii="Cambria" w:eastAsia="Times New Roman" w:hAnsi="Cambria" w:cs="Times New Roman"/>
          <w:b/>
          <w:bCs/>
          <w:kern w:val="32"/>
          <w:sz w:val="32"/>
          <w:szCs w:val="32"/>
        </w:rPr>
      </w:pPr>
      <w:bookmarkStart w:id="0" w:name="_Ref515632475"/>
      <w:r w:rsidRPr="0008392A">
        <w:rPr>
          <w:rFonts w:ascii="Cambria" w:eastAsia="Times New Roman" w:hAnsi="Cambria" w:cs="Times New Roman"/>
          <w:b/>
          <w:bCs/>
          <w:kern w:val="32"/>
          <w:sz w:val="32"/>
          <w:szCs w:val="32"/>
        </w:rPr>
        <w:t>Invoice Validation</w:t>
      </w:r>
      <w:bookmarkEnd w:id="0"/>
    </w:p>
    <w:tbl>
      <w:tblPr>
        <w:tblStyle w:val="TableGridLight"/>
        <w:tblW w:w="0" w:type="auto"/>
        <w:tblLook w:val="04A0" w:firstRow="1" w:lastRow="0" w:firstColumn="1" w:lastColumn="0" w:noHBand="0" w:noVBand="1"/>
      </w:tblPr>
      <w:tblGrid>
        <w:gridCol w:w="2723"/>
        <w:gridCol w:w="6293"/>
      </w:tblGrid>
      <w:tr w:rsidR="0008392A" w:rsidRPr="0008392A" w14:paraId="77A1CFA1" w14:textId="77777777" w:rsidTr="001004DA">
        <w:tc>
          <w:tcPr>
            <w:tcW w:w="2802" w:type="dxa"/>
          </w:tcPr>
          <w:p w14:paraId="3DFBF1CF"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Data Controller(s)</w:t>
            </w:r>
          </w:p>
        </w:tc>
        <w:tc>
          <w:tcPr>
            <w:tcW w:w="6440" w:type="dxa"/>
          </w:tcPr>
          <w:p w14:paraId="05786AB2"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NHS North East Lincolnshire CCG</w:t>
            </w:r>
          </w:p>
        </w:tc>
      </w:tr>
      <w:tr w:rsidR="0008392A" w:rsidRPr="0008392A" w14:paraId="2D1107D7" w14:textId="77777777" w:rsidTr="001004DA">
        <w:tc>
          <w:tcPr>
            <w:tcW w:w="2802" w:type="dxa"/>
          </w:tcPr>
          <w:p w14:paraId="15A750B2"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Purpose</w:t>
            </w:r>
          </w:p>
        </w:tc>
        <w:tc>
          <w:tcPr>
            <w:tcW w:w="6440" w:type="dxa"/>
          </w:tcPr>
          <w:p w14:paraId="4ECF8438" w14:textId="77777777" w:rsidR="0008392A" w:rsidRPr="0008392A" w:rsidRDefault="004F2D0F" w:rsidP="0008392A">
            <w:pPr>
              <w:rPr>
                <w:rFonts w:ascii="Calibri" w:eastAsia="Calibri" w:hAnsi="Calibri" w:cs="Times New Roman"/>
              </w:rPr>
            </w:pPr>
            <w:hyperlink r:id="rId7" w:history="1">
              <w:r w:rsidR="0008392A" w:rsidRPr="0008392A">
                <w:rPr>
                  <w:rFonts w:ascii="Calibri" w:eastAsia="Calibri" w:hAnsi="Calibri" w:cs="Times New Roman"/>
                  <w:color w:val="0000FF"/>
                  <w:u w:val="single"/>
                </w:rPr>
                <w:t>Invoice validation</w:t>
              </w:r>
            </w:hyperlink>
            <w:r w:rsidR="0008392A" w:rsidRPr="0008392A">
              <w:rPr>
                <w:rFonts w:ascii="Calibri" w:eastAsia="Calibri" w:hAnsi="Calibri" w:cs="Times New Roman"/>
              </w:rPr>
              <w:t xml:space="preserve"> is part of the process by which providers of care or services get paid for the work they do.</w:t>
            </w:r>
          </w:p>
          <w:p w14:paraId="0A104418" w14:textId="1A64E38F" w:rsidR="0008392A" w:rsidRPr="0008392A" w:rsidRDefault="0008392A" w:rsidP="0008392A">
            <w:pPr>
              <w:rPr>
                <w:rFonts w:ascii="Calibri" w:eastAsia="Calibri" w:hAnsi="Calibri" w:cs="Times New Roman"/>
              </w:rPr>
            </w:pPr>
            <w:r w:rsidRPr="0008392A">
              <w:rPr>
                <w:rFonts w:ascii="Calibri" w:eastAsia="Calibri" w:hAnsi="Calibri" w:cs="Times New Roman"/>
              </w:rPr>
              <w:t>Invoices, with supporting information, are submitted to the CCG of their service for payment, but before payment can be released, the CCG needs to ensure that the activity claimed for each patient is their responsibility. These invoices are validated within a special secure area known as a Controlled Environment for Finance (</w:t>
            </w:r>
            <w:proofErr w:type="spellStart"/>
            <w:r w:rsidRPr="0008392A">
              <w:rPr>
                <w:rFonts w:ascii="Calibri" w:eastAsia="Calibri" w:hAnsi="Calibri" w:cs="Times New Roman"/>
              </w:rPr>
              <w:t>CEfF</w:t>
            </w:r>
            <w:proofErr w:type="spellEnd"/>
            <w:r w:rsidRPr="0008392A">
              <w:rPr>
                <w:rFonts w:ascii="Calibri" w:eastAsia="Calibri" w:hAnsi="Calibri" w:cs="Times New Roman"/>
              </w:rPr>
              <w:t xml:space="preserve">) to ensure that the right amount of money is paid, by the right organisation, for the treatment provided. </w:t>
            </w:r>
            <w:r w:rsidR="004D3EAF">
              <w:rPr>
                <w:lang w:val="en-US"/>
              </w:rPr>
              <w:t>The nominated secure environment validating the invoice will require a copy of the invoice sent to NHS Shared Business Services, as well as the backing data to evidence the activity and patients claimed for.</w:t>
            </w:r>
            <w:r w:rsidR="002016B4">
              <w:rPr>
                <w:lang w:val="en-US"/>
              </w:rPr>
              <w:t xml:space="preserve"> </w:t>
            </w:r>
            <w:r w:rsidRPr="0008392A">
              <w:rPr>
                <w:rFonts w:ascii="Calibri" w:eastAsia="Calibri" w:hAnsi="Calibri" w:cs="Times New Roman"/>
              </w:rPr>
              <w:t>The process followed ensures that only the minimum amount of information about individuals is used by a very limited number of people and is designed to protect confidentiality.</w:t>
            </w:r>
          </w:p>
        </w:tc>
      </w:tr>
      <w:tr w:rsidR="0008392A" w:rsidRPr="0008392A" w14:paraId="51474142" w14:textId="77777777" w:rsidTr="001004DA">
        <w:tc>
          <w:tcPr>
            <w:tcW w:w="2802" w:type="dxa"/>
          </w:tcPr>
          <w:p w14:paraId="016682A6" w14:textId="6CB3986B" w:rsidR="0008392A" w:rsidRPr="0008392A" w:rsidRDefault="0008392A" w:rsidP="0008392A">
            <w:pPr>
              <w:rPr>
                <w:rFonts w:ascii="Calibri" w:eastAsia="Calibri" w:hAnsi="Calibri" w:cs="Times New Roman"/>
                <w:b/>
              </w:rPr>
            </w:pPr>
            <w:r w:rsidRPr="0008392A">
              <w:rPr>
                <w:rFonts w:ascii="Calibri" w:eastAsia="Calibri" w:hAnsi="Calibri" w:cs="Times New Roman"/>
                <w:b/>
              </w:rPr>
              <w:t>Type of information Used</w:t>
            </w:r>
          </w:p>
        </w:tc>
        <w:tc>
          <w:tcPr>
            <w:tcW w:w="6440" w:type="dxa"/>
          </w:tcPr>
          <w:p w14:paraId="54AECEFA"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Identifiable (NHS number, date of birth or postcode) and Special Category (health information)</w:t>
            </w:r>
          </w:p>
        </w:tc>
      </w:tr>
      <w:tr w:rsidR="0008392A" w:rsidRPr="0008392A" w14:paraId="686C5AB4" w14:textId="77777777" w:rsidTr="001004DA">
        <w:tc>
          <w:tcPr>
            <w:tcW w:w="2802" w:type="dxa"/>
          </w:tcPr>
          <w:p w14:paraId="359F709F"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Legal basis</w:t>
            </w:r>
          </w:p>
        </w:tc>
        <w:tc>
          <w:tcPr>
            <w:tcW w:w="6440" w:type="dxa"/>
          </w:tcPr>
          <w:p w14:paraId="40B04FF7"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GDPR Article 6(1)(e) – processing is necessary for the performance of a task carried out in the exercise of official authority vested in the controller.</w:t>
            </w:r>
          </w:p>
          <w:p w14:paraId="46F88628"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GDPR Article 9(2)(h) processing is necessary for the purposes of the provision of health or social care or treatment or the management of health or social care systems and services.</w:t>
            </w:r>
          </w:p>
          <w:p w14:paraId="473F74B0"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A </w:t>
            </w:r>
            <w:hyperlink r:id="rId8" w:history="1">
              <w:r w:rsidRPr="0008392A">
                <w:rPr>
                  <w:rFonts w:ascii="Calibri" w:eastAsia="Calibri" w:hAnsi="Calibri" w:cs="Times New Roman"/>
                  <w:color w:val="0000FF"/>
                  <w:u w:val="single"/>
                </w:rPr>
                <w:t>section 251</w:t>
              </w:r>
            </w:hyperlink>
            <w:r w:rsidRPr="0008392A">
              <w:rPr>
                <w:rFonts w:ascii="Calibri" w:eastAsia="Calibri" w:hAnsi="Calibri" w:cs="Times New Roman"/>
              </w:rPr>
              <w:t xml:space="preserve"> approval (CAG 7-07(a)(b)(c)/2013) from the Secretary of State, through the </w:t>
            </w:r>
            <w:hyperlink r:id="rId9" w:history="1">
              <w:r w:rsidRPr="0008392A">
                <w:rPr>
                  <w:rFonts w:ascii="Calibri" w:eastAsia="Calibri" w:hAnsi="Calibri" w:cs="Times New Roman"/>
                  <w:color w:val="0000FF"/>
                  <w:u w:val="single"/>
                </w:rPr>
                <w:t>Confidentiality Advisory Group</w:t>
              </w:r>
            </w:hyperlink>
            <w:r w:rsidRPr="0008392A">
              <w:rPr>
                <w:rFonts w:ascii="Calibri" w:eastAsia="Calibri" w:hAnsi="Calibri" w:cs="Times New Roman"/>
              </w:rPr>
              <w:t xml:space="preserve"> of the Health Research Authority, enables the CCG to process identifiable information for the purpose of invoice validation within a Controlled Environment for Finance.</w:t>
            </w:r>
          </w:p>
        </w:tc>
      </w:tr>
      <w:tr w:rsidR="0008392A" w:rsidRPr="0008392A" w14:paraId="4A6E3312" w14:textId="77777777" w:rsidTr="001004DA">
        <w:trPr>
          <w:trHeight w:val="983"/>
        </w:trPr>
        <w:tc>
          <w:tcPr>
            <w:tcW w:w="2802" w:type="dxa"/>
          </w:tcPr>
          <w:p w14:paraId="1FE09245"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How we collect (the source) and use the information</w:t>
            </w:r>
          </w:p>
        </w:tc>
        <w:tc>
          <w:tcPr>
            <w:tcW w:w="6440" w:type="dxa"/>
          </w:tcPr>
          <w:p w14:paraId="0558239B"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Organisations that provide treatment submit their invoices to the CCG for payment. The nominated secure area (Controlled Environment for Finance) receives additional information, including the NHS Number, or occasionally date of birth and postcode, from the organisation that provided the treatment.</w:t>
            </w:r>
          </w:p>
          <w:p w14:paraId="215AB02D"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NHS Digital sends information into the secure area, including the NHS number and details of the treatment received. The information is then validated ensuring that any discrepancies are investigated and resolved between the Controlled Environment for Finance and the organisation that submitted the invoice. The invoices will be paid when the validation is completed. </w:t>
            </w:r>
          </w:p>
          <w:p w14:paraId="2F257109" w14:textId="1AE5B407"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The CCG does not receive any identifiable information for purposes of invoice validation; </w:t>
            </w:r>
            <w:r w:rsidR="001D0F0A" w:rsidRPr="0008392A">
              <w:rPr>
                <w:rFonts w:ascii="Calibri" w:eastAsia="Calibri" w:hAnsi="Calibri" w:cs="Times New Roman"/>
              </w:rPr>
              <w:t>however,</w:t>
            </w:r>
            <w:r w:rsidRPr="0008392A">
              <w:rPr>
                <w:rFonts w:ascii="Calibri" w:eastAsia="Calibri" w:hAnsi="Calibri" w:cs="Times New Roman"/>
              </w:rPr>
              <w:t xml:space="preserve"> we do receive aggregated reports to help us manage our finances. </w:t>
            </w:r>
          </w:p>
        </w:tc>
      </w:tr>
      <w:tr w:rsidR="0008392A" w:rsidRPr="0008392A" w14:paraId="559FD8DE" w14:textId="77777777" w:rsidTr="001004DA">
        <w:tc>
          <w:tcPr>
            <w:tcW w:w="2802" w:type="dxa"/>
          </w:tcPr>
          <w:p w14:paraId="00AA1A5A"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Data Processors</w:t>
            </w:r>
          </w:p>
        </w:tc>
        <w:tc>
          <w:tcPr>
            <w:tcW w:w="6440" w:type="dxa"/>
          </w:tcPr>
          <w:p w14:paraId="18C195E3"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The Controlled Environment for Finance uses NHS Shared Business Services as a Data Processor</w:t>
            </w:r>
          </w:p>
        </w:tc>
      </w:tr>
      <w:tr w:rsidR="0008392A" w:rsidRPr="0008392A" w14:paraId="7181D726" w14:textId="77777777" w:rsidTr="001004DA">
        <w:tc>
          <w:tcPr>
            <w:tcW w:w="2802" w:type="dxa"/>
          </w:tcPr>
          <w:p w14:paraId="704F92DA"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Transfers of Data Overseas</w:t>
            </w:r>
          </w:p>
          <w:p w14:paraId="1AE43524" w14:textId="77777777" w:rsidR="0008392A" w:rsidRDefault="0008392A" w:rsidP="0008392A">
            <w:pPr>
              <w:rPr>
                <w:rFonts w:ascii="Calibri" w:eastAsia="Calibri" w:hAnsi="Calibri" w:cs="Times New Roman"/>
                <w:b/>
              </w:rPr>
            </w:pPr>
          </w:p>
          <w:p w14:paraId="37C1A165" w14:textId="3B0A72D5" w:rsidR="001D0F0A" w:rsidRPr="001D0F0A" w:rsidRDefault="001D0F0A" w:rsidP="001D0F0A">
            <w:pPr>
              <w:jc w:val="center"/>
              <w:rPr>
                <w:rFonts w:ascii="Calibri" w:eastAsia="Calibri" w:hAnsi="Calibri" w:cs="Times New Roman"/>
              </w:rPr>
            </w:pPr>
          </w:p>
        </w:tc>
        <w:tc>
          <w:tcPr>
            <w:tcW w:w="6440" w:type="dxa"/>
          </w:tcPr>
          <w:p w14:paraId="1A595E42" w14:textId="2ED1A096"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NHS SBS carry out some of their processing activity in India. Where this </w:t>
            </w:r>
            <w:r w:rsidR="001D0F0A" w:rsidRPr="0008392A">
              <w:rPr>
                <w:rFonts w:ascii="Calibri" w:eastAsia="Calibri" w:hAnsi="Calibri" w:cs="Times New Roman"/>
              </w:rPr>
              <w:t>occurs,</w:t>
            </w:r>
            <w:r w:rsidRPr="0008392A">
              <w:rPr>
                <w:rFonts w:ascii="Calibri" w:eastAsia="Calibri" w:hAnsi="Calibri" w:cs="Times New Roman"/>
              </w:rPr>
              <w:t xml:space="preserve"> it is governed </w:t>
            </w:r>
            <w:proofErr w:type="gramStart"/>
            <w:r w:rsidRPr="0008392A">
              <w:rPr>
                <w:rFonts w:ascii="Calibri" w:eastAsia="Calibri" w:hAnsi="Calibri" w:cs="Times New Roman"/>
              </w:rPr>
              <w:t>by the use of</w:t>
            </w:r>
            <w:proofErr w:type="gramEnd"/>
            <w:r w:rsidRPr="0008392A">
              <w:rPr>
                <w:rFonts w:ascii="Calibri" w:eastAsia="Calibri" w:hAnsi="Calibri" w:cs="Times New Roman"/>
              </w:rPr>
              <w:t xml:space="preserve"> approved Model Contract Clauses.</w:t>
            </w:r>
          </w:p>
        </w:tc>
      </w:tr>
      <w:tr w:rsidR="0008392A" w:rsidRPr="0008392A" w14:paraId="3E89DA37" w14:textId="77777777" w:rsidTr="001004DA">
        <w:tc>
          <w:tcPr>
            <w:tcW w:w="2802" w:type="dxa"/>
          </w:tcPr>
          <w:p w14:paraId="1D27D075"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lastRenderedPageBreak/>
              <w:t>Your Rights</w:t>
            </w:r>
          </w:p>
        </w:tc>
        <w:tc>
          <w:tcPr>
            <w:tcW w:w="6440" w:type="dxa"/>
          </w:tcPr>
          <w:p w14:paraId="1B74D187" w14:textId="48D850C5"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If you do not want the NHS to use information about you, collected by your GP then you can opt out by completing an opt-out form and returning it to your GP practice. </w:t>
            </w:r>
          </w:p>
          <w:p w14:paraId="6B96E448" w14:textId="77CEB83E" w:rsidR="0008392A" w:rsidRPr="0008392A" w:rsidRDefault="00BB6C92" w:rsidP="0008392A">
            <w:pPr>
              <w:rPr>
                <w:rFonts w:ascii="Calibri" w:eastAsia="Calibri" w:hAnsi="Calibri" w:cs="Times New Roman"/>
              </w:rPr>
            </w:pPr>
            <w:r>
              <w:rPr>
                <w:rFonts w:ascii="Calibri" w:eastAsia="Calibri" w:hAnsi="Calibri" w:cs="Times New Roman"/>
              </w:rPr>
              <w:t>National Data</w:t>
            </w:r>
            <w:r w:rsidR="0008392A" w:rsidRPr="0008392A">
              <w:rPr>
                <w:rFonts w:ascii="Calibri" w:eastAsia="Calibri" w:hAnsi="Calibri" w:cs="Times New Roman"/>
              </w:rPr>
              <w:t xml:space="preserve"> opt outs </w:t>
            </w:r>
            <w:r>
              <w:rPr>
                <w:rFonts w:ascii="Calibri" w:eastAsia="Calibri" w:hAnsi="Calibri" w:cs="Times New Roman"/>
              </w:rPr>
              <w:t xml:space="preserve">(previously Type 2 opt outs) </w:t>
            </w:r>
            <w:r w:rsidR="0008392A" w:rsidRPr="0008392A">
              <w:rPr>
                <w:rFonts w:ascii="Calibri" w:eastAsia="Calibri" w:hAnsi="Calibri" w:cs="Times New Roman"/>
              </w:rPr>
              <w:t xml:space="preserve">apply to invoice validation - where you do not wish for your information to be shared by NHS Digital.  </w:t>
            </w:r>
          </w:p>
          <w:p w14:paraId="16C09FDC"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 xml:space="preserve">Details of the national patient opt out can be found here: </w:t>
            </w:r>
            <w:hyperlink r:id="rId10" w:history="1">
              <w:r w:rsidR="00684697">
                <w:rPr>
                  <w:rStyle w:val="Hyperlink"/>
                </w:rPr>
                <w:t>https://digital.nhs.uk/services/national-data-opt-out/understanding-the-national-data-opt-out</w:t>
              </w:r>
            </w:hyperlink>
          </w:p>
          <w:p w14:paraId="76C17E94"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With regards to Invoice Validation under GDPR you have the right:</w:t>
            </w:r>
          </w:p>
          <w:p w14:paraId="7821F4CA"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To be informed about the processing of your information (this notice)</w:t>
            </w:r>
          </w:p>
          <w:p w14:paraId="49B8E17E"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Of access to the information held about you</w:t>
            </w:r>
          </w:p>
          <w:p w14:paraId="54AF7F35"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 xml:space="preserve">To have the information corrected </w:t>
            </w:r>
            <w:proofErr w:type="gramStart"/>
            <w:r w:rsidRPr="0008392A">
              <w:rPr>
                <w:rFonts w:ascii="Calibri" w:eastAsia="Calibri" w:hAnsi="Calibri" w:cs="Times New Roman"/>
              </w:rPr>
              <w:t>in the event that</w:t>
            </w:r>
            <w:proofErr w:type="gramEnd"/>
            <w:r w:rsidRPr="0008392A">
              <w:rPr>
                <w:rFonts w:ascii="Calibri" w:eastAsia="Calibri" w:hAnsi="Calibri" w:cs="Times New Roman"/>
              </w:rPr>
              <w:t xml:space="preserve"> it is inaccurate</w:t>
            </w:r>
          </w:p>
          <w:p w14:paraId="6BAFE553"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To object to it being processed or used</w:t>
            </w:r>
          </w:p>
          <w:p w14:paraId="55FD8F85"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Not to be subject automated decision-taking or profiling</w:t>
            </w:r>
          </w:p>
          <w:p w14:paraId="7B77D095" w14:textId="77777777" w:rsidR="0008392A" w:rsidRPr="0008392A" w:rsidRDefault="0008392A" w:rsidP="0008392A">
            <w:pPr>
              <w:numPr>
                <w:ilvl w:val="0"/>
                <w:numId w:val="1"/>
              </w:numPr>
              <w:rPr>
                <w:rFonts w:ascii="Calibri" w:eastAsia="Calibri" w:hAnsi="Calibri" w:cs="Times New Roman"/>
              </w:rPr>
            </w:pPr>
            <w:r w:rsidRPr="0008392A">
              <w:rPr>
                <w:rFonts w:ascii="Calibri" w:eastAsia="Calibri" w:hAnsi="Calibri" w:cs="Times New Roman"/>
              </w:rPr>
              <w:t>To be notified of data breaches</w:t>
            </w:r>
          </w:p>
        </w:tc>
      </w:tr>
      <w:tr w:rsidR="0008392A" w:rsidRPr="0008392A" w14:paraId="3A11CDE3" w14:textId="77777777" w:rsidTr="001004DA">
        <w:tc>
          <w:tcPr>
            <w:tcW w:w="2802" w:type="dxa"/>
          </w:tcPr>
          <w:p w14:paraId="49855402"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How long we will keep the information</w:t>
            </w:r>
          </w:p>
        </w:tc>
        <w:tc>
          <w:tcPr>
            <w:tcW w:w="6440" w:type="dxa"/>
          </w:tcPr>
          <w:p w14:paraId="1AF4BD60" w14:textId="0BD788BB" w:rsidR="0008392A" w:rsidRPr="0008392A" w:rsidRDefault="004F2D0F" w:rsidP="0008392A">
            <w:pPr>
              <w:rPr>
                <w:rFonts w:ascii="Calibri" w:eastAsia="Calibri" w:hAnsi="Calibri" w:cs="Times New Roman"/>
              </w:rPr>
            </w:pPr>
            <w:r w:rsidRPr="004F2D0F">
              <w:rPr>
                <w:rFonts w:ascii="Calibri" w:eastAsia="Calibri" w:hAnsi="Calibri" w:cs="Times New Roman"/>
              </w:rPr>
              <w:t>The organisation has adopted The Records Management Code of Practice for Health and Social Care 2021.  Data will be retained in accordance with this code and the accompanied retention schedule.</w:t>
            </w:r>
          </w:p>
        </w:tc>
      </w:tr>
      <w:tr w:rsidR="0008392A" w:rsidRPr="0008392A" w14:paraId="45070FB2" w14:textId="77777777" w:rsidTr="001004DA">
        <w:tc>
          <w:tcPr>
            <w:tcW w:w="2802" w:type="dxa"/>
          </w:tcPr>
          <w:p w14:paraId="58145847" w14:textId="77777777" w:rsidR="0008392A" w:rsidRPr="0008392A" w:rsidRDefault="0008392A" w:rsidP="0008392A">
            <w:pPr>
              <w:rPr>
                <w:rFonts w:ascii="Calibri" w:eastAsia="Calibri" w:hAnsi="Calibri" w:cs="Times New Roman"/>
                <w:b/>
              </w:rPr>
            </w:pPr>
            <w:r w:rsidRPr="0008392A">
              <w:rPr>
                <w:rFonts w:ascii="Calibri" w:eastAsia="Calibri" w:hAnsi="Calibri" w:cs="Times New Roman"/>
                <w:b/>
              </w:rPr>
              <w:t>Who we will share the information with (recipients)</w:t>
            </w:r>
          </w:p>
        </w:tc>
        <w:tc>
          <w:tcPr>
            <w:tcW w:w="6440" w:type="dxa"/>
          </w:tcPr>
          <w:p w14:paraId="1F8B7B54" w14:textId="77777777" w:rsidR="0008392A" w:rsidRPr="0008392A" w:rsidRDefault="0008392A" w:rsidP="0008392A">
            <w:pPr>
              <w:rPr>
                <w:rFonts w:ascii="Calibri" w:eastAsia="Calibri" w:hAnsi="Calibri" w:cs="Times New Roman"/>
              </w:rPr>
            </w:pPr>
            <w:r w:rsidRPr="0008392A">
              <w:rPr>
                <w:rFonts w:ascii="Calibri" w:eastAsia="Calibri" w:hAnsi="Calibri" w:cs="Times New Roman"/>
              </w:rPr>
              <w:t>This information is not shared outside of the CCG.</w:t>
            </w:r>
          </w:p>
        </w:tc>
      </w:tr>
    </w:tbl>
    <w:p w14:paraId="3AF1F2C3" w14:textId="77777777" w:rsidR="0008392A" w:rsidRPr="0008392A" w:rsidRDefault="0008392A" w:rsidP="0008392A">
      <w:pPr>
        <w:rPr>
          <w:rFonts w:ascii="Calibri" w:eastAsia="Calibri" w:hAnsi="Calibri" w:cs="Times New Roman"/>
        </w:rPr>
      </w:pPr>
    </w:p>
    <w:p w14:paraId="6EFAE72C" w14:textId="77777777" w:rsidR="0017520C" w:rsidRDefault="0017520C"/>
    <w:sectPr w:rsidR="001752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6A702" w14:textId="77777777" w:rsidR="001D0F0A" w:rsidRDefault="001D0F0A" w:rsidP="001D0F0A">
      <w:pPr>
        <w:spacing w:after="0" w:line="240" w:lineRule="auto"/>
      </w:pPr>
      <w:r>
        <w:separator/>
      </w:r>
    </w:p>
  </w:endnote>
  <w:endnote w:type="continuationSeparator" w:id="0">
    <w:p w14:paraId="60A378C5" w14:textId="77777777" w:rsidR="001D0F0A" w:rsidRDefault="001D0F0A" w:rsidP="001D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ED8F" w14:textId="085D4A38" w:rsidR="001D0F0A" w:rsidRDefault="004F2D0F">
    <w:pPr>
      <w:pStyle w:val="Footer"/>
    </w:pPr>
    <w:r>
      <w:t>Sept</w:t>
    </w:r>
    <w:r w:rsidR="001D0F0A">
      <w:t xml:space="preserve"> (v</w:t>
    </w:r>
    <w:r>
      <w:t>2</w:t>
    </w:r>
    <w:r w:rsidR="001D0F0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7174" w14:textId="77777777" w:rsidR="001D0F0A" w:rsidRDefault="001D0F0A" w:rsidP="001D0F0A">
      <w:pPr>
        <w:spacing w:after="0" w:line="240" w:lineRule="auto"/>
      </w:pPr>
      <w:r>
        <w:separator/>
      </w:r>
    </w:p>
  </w:footnote>
  <w:footnote w:type="continuationSeparator" w:id="0">
    <w:p w14:paraId="45CEBC94" w14:textId="77777777" w:rsidR="001D0F0A" w:rsidRDefault="001D0F0A" w:rsidP="001D0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3678A"/>
    <w:multiLevelType w:val="hybridMultilevel"/>
    <w:tmpl w:val="E3CE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9"/>
    <w:rsid w:val="0008392A"/>
    <w:rsid w:val="001004DA"/>
    <w:rsid w:val="0017520C"/>
    <w:rsid w:val="001A070F"/>
    <w:rsid w:val="001D0F0A"/>
    <w:rsid w:val="002016B4"/>
    <w:rsid w:val="002819AD"/>
    <w:rsid w:val="00396257"/>
    <w:rsid w:val="004D3EAF"/>
    <w:rsid w:val="004F2D0F"/>
    <w:rsid w:val="00644A5B"/>
    <w:rsid w:val="00684697"/>
    <w:rsid w:val="006F4619"/>
    <w:rsid w:val="00793F4A"/>
    <w:rsid w:val="00BB6C92"/>
    <w:rsid w:val="00C1036F"/>
    <w:rsid w:val="00C859DA"/>
    <w:rsid w:val="00E0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B0F3"/>
  <w15:docId w15:val="{CEBA16A7-3BF5-4FB8-8311-7B6749AE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4697"/>
    <w:rPr>
      <w:color w:val="0000FF"/>
      <w:u w:val="single"/>
    </w:rPr>
  </w:style>
  <w:style w:type="character" w:styleId="CommentReference">
    <w:name w:val="annotation reference"/>
    <w:basedOn w:val="DefaultParagraphFont"/>
    <w:uiPriority w:val="99"/>
    <w:semiHidden/>
    <w:unhideWhenUsed/>
    <w:rsid w:val="001004DA"/>
    <w:rPr>
      <w:sz w:val="16"/>
      <w:szCs w:val="16"/>
    </w:rPr>
  </w:style>
  <w:style w:type="paragraph" w:styleId="CommentText">
    <w:name w:val="annotation text"/>
    <w:basedOn w:val="Normal"/>
    <w:link w:val="CommentTextChar"/>
    <w:uiPriority w:val="99"/>
    <w:semiHidden/>
    <w:unhideWhenUsed/>
    <w:rsid w:val="001004DA"/>
    <w:pPr>
      <w:spacing w:line="240" w:lineRule="auto"/>
    </w:pPr>
    <w:rPr>
      <w:sz w:val="20"/>
      <w:szCs w:val="20"/>
    </w:rPr>
  </w:style>
  <w:style w:type="character" w:customStyle="1" w:styleId="CommentTextChar">
    <w:name w:val="Comment Text Char"/>
    <w:basedOn w:val="DefaultParagraphFont"/>
    <w:link w:val="CommentText"/>
    <w:uiPriority w:val="99"/>
    <w:semiHidden/>
    <w:rsid w:val="001004DA"/>
    <w:rPr>
      <w:sz w:val="20"/>
      <w:szCs w:val="20"/>
    </w:rPr>
  </w:style>
  <w:style w:type="paragraph" w:styleId="CommentSubject">
    <w:name w:val="annotation subject"/>
    <w:basedOn w:val="CommentText"/>
    <w:next w:val="CommentText"/>
    <w:link w:val="CommentSubjectChar"/>
    <w:uiPriority w:val="99"/>
    <w:semiHidden/>
    <w:unhideWhenUsed/>
    <w:rsid w:val="001004DA"/>
    <w:rPr>
      <w:b/>
      <w:bCs/>
    </w:rPr>
  </w:style>
  <w:style w:type="character" w:customStyle="1" w:styleId="CommentSubjectChar">
    <w:name w:val="Comment Subject Char"/>
    <w:basedOn w:val="CommentTextChar"/>
    <w:link w:val="CommentSubject"/>
    <w:uiPriority w:val="99"/>
    <w:semiHidden/>
    <w:rsid w:val="001004DA"/>
    <w:rPr>
      <w:b/>
      <w:bCs/>
      <w:sz w:val="20"/>
      <w:szCs w:val="20"/>
    </w:rPr>
  </w:style>
  <w:style w:type="paragraph" w:styleId="BalloonText">
    <w:name w:val="Balloon Text"/>
    <w:basedOn w:val="Normal"/>
    <w:link w:val="BalloonTextChar"/>
    <w:uiPriority w:val="99"/>
    <w:semiHidden/>
    <w:unhideWhenUsed/>
    <w:rsid w:val="0010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4DA"/>
    <w:rPr>
      <w:rFonts w:ascii="Segoe UI" w:hAnsi="Segoe UI" w:cs="Segoe UI"/>
      <w:sz w:val="18"/>
      <w:szCs w:val="18"/>
    </w:rPr>
  </w:style>
  <w:style w:type="table" w:styleId="TableGridLight">
    <w:name w:val="Grid Table Light"/>
    <w:basedOn w:val="TableNormal"/>
    <w:uiPriority w:val="40"/>
    <w:rsid w:val="001004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1036F"/>
    <w:pPr>
      <w:spacing w:after="0" w:line="240" w:lineRule="auto"/>
      <w:ind w:left="720"/>
    </w:pPr>
    <w:rPr>
      <w:rFonts w:ascii="Calibri" w:eastAsia="Times New Roman" w:hAnsi="Calibri" w:cs="Times New Roman"/>
    </w:rPr>
  </w:style>
  <w:style w:type="character" w:styleId="UnresolvedMention">
    <w:name w:val="Unresolved Mention"/>
    <w:basedOn w:val="DefaultParagraphFont"/>
    <w:uiPriority w:val="99"/>
    <w:semiHidden/>
    <w:unhideWhenUsed/>
    <w:rsid w:val="00793F4A"/>
    <w:rPr>
      <w:color w:val="605E5C"/>
      <w:shd w:val="clear" w:color="auto" w:fill="E1DFDD"/>
    </w:rPr>
  </w:style>
  <w:style w:type="character" w:styleId="FollowedHyperlink">
    <w:name w:val="FollowedHyperlink"/>
    <w:basedOn w:val="DefaultParagraphFont"/>
    <w:uiPriority w:val="99"/>
    <w:semiHidden/>
    <w:unhideWhenUsed/>
    <w:rsid w:val="00793F4A"/>
    <w:rPr>
      <w:color w:val="800080" w:themeColor="followedHyperlink"/>
      <w:u w:val="single"/>
    </w:rPr>
  </w:style>
  <w:style w:type="paragraph" w:styleId="Header">
    <w:name w:val="header"/>
    <w:basedOn w:val="Normal"/>
    <w:link w:val="HeaderChar"/>
    <w:uiPriority w:val="99"/>
    <w:unhideWhenUsed/>
    <w:rsid w:val="001D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F0A"/>
  </w:style>
  <w:style w:type="paragraph" w:styleId="Footer">
    <w:name w:val="footer"/>
    <w:basedOn w:val="Normal"/>
    <w:link w:val="FooterChar"/>
    <w:uiPriority w:val="99"/>
    <w:unhideWhenUsed/>
    <w:rsid w:val="001D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bout-us/committees-and-services/confidentiality-advisory-group/legal-framewor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ig/in-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gital.nhs.uk/services/national-data-opt-out/understanding-the-national-data-opt-out" TargetMode="External"/><Relationship Id="rId4" Type="http://schemas.openxmlformats.org/officeDocument/2006/relationships/webSettings" Target="webSettings.xml"/><Relationship Id="rId9" Type="http://schemas.openxmlformats.org/officeDocument/2006/relationships/hyperlink" Target="https://www.hra.nhs.uk/about-us/committees-and-services/confidentiality-advisor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eMBED</dc:creator>
  <cp:lastModifiedBy>*</cp:lastModifiedBy>
  <cp:revision>2</cp:revision>
  <dcterms:created xsi:type="dcterms:W3CDTF">2021-09-09T17:18:00Z</dcterms:created>
  <dcterms:modified xsi:type="dcterms:W3CDTF">2021-09-09T17:18:00Z</dcterms:modified>
</cp:coreProperties>
</file>