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AAF3" w14:textId="77777777" w:rsidR="009B4E10" w:rsidRPr="009B4E10" w:rsidRDefault="009B4E10" w:rsidP="009B4E10">
      <w:pPr>
        <w:keepNext/>
        <w:spacing w:before="240" w:after="60"/>
        <w:outlineLvl w:val="0"/>
        <w:rPr>
          <w:rFonts w:ascii="Cambria" w:eastAsia="Times New Roman" w:hAnsi="Cambria" w:cs="Times New Roman"/>
          <w:b/>
          <w:bCs/>
          <w:kern w:val="32"/>
          <w:sz w:val="32"/>
          <w:szCs w:val="32"/>
        </w:rPr>
      </w:pPr>
      <w:bookmarkStart w:id="0" w:name="_Ref515632682"/>
      <w:r w:rsidRPr="009B4E10">
        <w:rPr>
          <w:rFonts w:ascii="Cambria" w:eastAsia="Times New Roman" w:hAnsi="Cambria" w:cs="Times New Roman"/>
          <w:b/>
          <w:bCs/>
          <w:kern w:val="32"/>
          <w:sz w:val="32"/>
          <w:szCs w:val="32"/>
        </w:rPr>
        <w:t>Human Resources</w:t>
      </w:r>
      <w:bookmarkEnd w:id="0"/>
    </w:p>
    <w:tbl>
      <w:tblPr>
        <w:tblStyle w:val="TableGridLight"/>
        <w:tblW w:w="0" w:type="auto"/>
        <w:tblLook w:val="04A0" w:firstRow="1" w:lastRow="0" w:firstColumn="1" w:lastColumn="0" w:noHBand="0" w:noVBand="1"/>
      </w:tblPr>
      <w:tblGrid>
        <w:gridCol w:w="2731"/>
        <w:gridCol w:w="12"/>
        <w:gridCol w:w="6273"/>
      </w:tblGrid>
      <w:tr w:rsidR="009B4E10" w:rsidRPr="009B4E10" w14:paraId="592DC20A" w14:textId="77777777" w:rsidTr="003B1A75">
        <w:tc>
          <w:tcPr>
            <w:tcW w:w="2743" w:type="dxa"/>
            <w:gridSpan w:val="2"/>
          </w:tcPr>
          <w:p w14:paraId="7680F747" w14:textId="77777777" w:rsidR="009B4E10" w:rsidRPr="009B4E10" w:rsidRDefault="009B4E10" w:rsidP="009B4E10">
            <w:pPr>
              <w:rPr>
                <w:rFonts w:ascii="Calibri" w:eastAsia="Calibri" w:hAnsi="Calibri" w:cs="Times New Roman"/>
                <w:b/>
              </w:rPr>
            </w:pPr>
            <w:r w:rsidRPr="009B4E10">
              <w:rPr>
                <w:rFonts w:ascii="Calibri" w:eastAsia="Calibri" w:hAnsi="Calibri" w:cs="Times New Roman"/>
                <w:b/>
              </w:rPr>
              <w:t>Data Controller(s)</w:t>
            </w:r>
          </w:p>
        </w:tc>
        <w:tc>
          <w:tcPr>
            <w:tcW w:w="6273" w:type="dxa"/>
          </w:tcPr>
          <w:p w14:paraId="4C9B582D" w14:textId="77777777" w:rsidR="009B4E10" w:rsidRPr="009B4E10" w:rsidRDefault="009B4E10" w:rsidP="009B4E10">
            <w:pPr>
              <w:rPr>
                <w:rFonts w:ascii="Calibri" w:eastAsia="Calibri" w:hAnsi="Calibri" w:cs="Times New Roman"/>
              </w:rPr>
            </w:pPr>
            <w:r w:rsidRPr="009B4E10">
              <w:rPr>
                <w:rFonts w:ascii="Calibri" w:eastAsia="Calibri" w:hAnsi="Calibri" w:cs="Times New Roman"/>
              </w:rPr>
              <w:t>NHS North East Lincolnshire CCG</w:t>
            </w:r>
          </w:p>
          <w:p w14:paraId="7E929A13" w14:textId="77777777" w:rsidR="009B4E10" w:rsidRPr="009B4E10" w:rsidRDefault="009B4E10" w:rsidP="009B4E10">
            <w:pPr>
              <w:rPr>
                <w:rFonts w:ascii="Calibri" w:eastAsia="Calibri" w:hAnsi="Calibri" w:cs="Times New Roman"/>
              </w:rPr>
            </w:pPr>
            <w:r w:rsidRPr="009B4E10">
              <w:rPr>
                <w:rFonts w:ascii="Calibri" w:eastAsia="Calibri" w:hAnsi="Calibri" w:cs="Times New Roman"/>
              </w:rPr>
              <w:t>NHS Business Services Authority (for the Electronic Staff Record aspect)</w:t>
            </w:r>
          </w:p>
        </w:tc>
      </w:tr>
      <w:tr w:rsidR="009B4E10" w:rsidRPr="009B4E10" w14:paraId="537B3660" w14:textId="77777777" w:rsidTr="003B1A75">
        <w:tc>
          <w:tcPr>
            <w:tcW w:w="2743" w:type="dxa"/>
            <w:gridSpan w:val="2"/>
          </w:tcPr>
          <w:p w14:paraId="4B79CC47" w14:textId="77777777" w:rsidR="009B4E10" w:rsidRPr="009B4E10" w:rsidRDefault="009B4E10" w:rsidP="009B4E10">
            <w:pPr>
              <w:rPr>
                <w:rFonts w:ascii="Calibri" w:eastAsia="Calibri" w:hAnsi="Calibri" w:cs="Times New Roman"/>
                <w:b/>
              </w:rPr>
            </w:pPr>
            <w:r w:rsidRPr="009B4E10">
              <w:rPr>
                <w:rFonts w:ascii="Calibri" w:eastAsia="Calibri" w:hAnsi="Calibri" w:cs="Times New Roman"/>
                <w:b/>
              </w:rPr>
              <w:t>Purpose</w:t>
            </w:r>
          </w:p>
        </w:tc>
        <w:tc>
          <w:tcPr>
            <w:tcW w:w="6273" w:type="dxa"/>
          </w:tcPr>
          <w:p w14:paraId="1A9EA70C" w14:textId="5562FA25" w:rsidR="009B4E10" w:rsidRPr="009B4E10" w:rsidRDefault="009B4E10" w:rsidP="007709E1">
            <w:pPr>
              <w:rPr>
                <w:rFonts w:ascii="Calibri" w:eastAsia="Calibri" w:hAnsi="Calibri" w:cs="Times New Roman"/>
              </w:rPr>
            </w:pPr>
            <w:r w:rsidRPr="009B4E10">
              <w:rPr>
                <w:rFonts w:ascii="Calibri" w:eastAsia="Calibri" w:hAnsi="Calibri" w:cs="Times New Roman"/>
              </w:rPr>
              <w:t xml:space="preserve">The CCG holds personal and confidential information </w:t>
            </w:r>
            <w:r w:rsidR="007709E1">
              <w:rPr>
                <w:rFonts w:ascii="Calibri" w:eastAsia="Calibri" w:hAnsi="Calibri" w:cs="Times New Roman"/>
              </w:rPr>
              <w:t>o</w:t>
            </w:r>
            <w:r w:rsidRPr="009B4E10">
              <w:rPr>
                <w:rFonts w:ascii="Calibri" w:eastAsia="Calibri" w:hAnsi="Calibri" w:cs="Times New Roman"/>
              </w:rPr>
              <w:t>f its staff for employment-related purposes, such as recruitment, payment of salary, sickness and absence monitoring and professional development purpose</w:t>
            </w:r>
            <w:r w:rsidR="003B1A75">
              <w:rPr>
                <w:rFonts w:ascii="Calibri" w:eastAsia="Calibri" w:hAnsi="Calibri" w:cs="Times New Roman"/>
              </w:rPr>
              <w:t>s and to reimburse expenses claims.</w:t>
            </w:r>
          </w:p>
        </w:tc>
      </w:tr>
      <w:tr w:rsidR="009B4E10" w:rsidRPr="009B4E10" w14:paraId="289FF03C" w14:textId="77777777" w:rsidTr="003B1A75">
        <w:tc>
          <w:tcPr>
            <w:tcW w:w="2743" w:type="dxa"/>
            <w:gridSpan w:val="2"/>
          </w:tcPr>
          <w:p w14:paraId="38E1D180" w14:textId="77777777" w:rsidR="009B4E10" w:rsidRPr="009B4E10" w:rsidRDefault="009B4E10" w:rsidP="009B4E10">
            <w:pPr>
              <w:rPr>
                <w:rFonts w:ascii="Calibri" w:eastAsia="Calibri" w:hAnsi="Calibri" w:cs="Times New Roman"/>
                <w:b/>
              </w:rPr>
            </w:pPr>
            <w:r w:rsidRPr="009B4E10">
              <w:rPr>
                <w:rFonts w:ascii="Calibri" w:eastAsia="Calibri" w:hAnsi="Calibri" w:cs="Times New Roman"/>
                <w:b/>
              </w:rPr>
              <w:t>Type of information Used</w:t>
            </w:r>
          </w:p>
        </w:tc>
        <w:tc>
          <w:tcPr>
            <w:tcW w:w="6273" w:type="dxa"/>
          </w:tcPr>
          <w:p w14:paraId="4A2EE00F" w14:textId="512346B7" w:rsidR="009B4E10" w:rsidRDefault="009B4E10" w:rsidP="009B4E10">
            <w:pPr>
              <w:rPr>
                <w:rFonts w:ascii="Calibri" w:eastAsia="Calibri" w:hAnsi="Calibri" w:cs="Times New Roman"/>
              </w:rPr>
            </w:pPr>
            <w:r w:rsidRPr="009B4E10">
              <w:rPr>
                <w:rFonts w:ascii="Calibri" w:eastAsia="Calibri" w:hAnsi="Calibri" w:cs="Times New Roman"/>
              </w:rPr>
              <w:t>Identifiable: Personal (such as name, address, date of birth) and Special Category (health, racial or ethnic origin information)</w:t>
            </w:r>
          </w:p>
          <w:p w14:paraId="0E41B175" w14:textId="61638983" w:rsidR="003B1A75" w:rsidRPr="003B1A75" w:rsidRDefault="003B1A75" w:rsidP="003B1A75">
            <w:pPr>
              <w:rPr>
                <w:rFonts w:ascii="Calibri" w:eastAsia="Calibri" w:hAnsi="Calibri" w:cs="Times New Roman"/>
              </w:rPr>
            </w:pPr>
            <w:r>
              <w:rPr>
                <w:rFonts w:ascii="Calibri" w:eastAsia="Calibri" w:hAnsi="Calibri" w:cs="Times New Roman"/>
              </w:rPr>
              <w:t>Information relating to expenses: Personal (</w:t>
            </w:r>
            <w:r w:rsidRPr="003B1A75">
              <w:rPr>
                <w:rFonts w:ascii="Calibri" w:eastAsia="Calibri" w:hAnsi="Calibri" w:cs="Times New Roman"/>
              </w:rPr>
              <w:t xml:space="preserve">such as, name, address, </w:t>
            </w:r>
          </w:p>
          <w:p w14:paraId="09418E14" w14:textId="77777777" w:rsidR="003B1A75" w:rsidRPr="003B1A75" w:rsidRDefault="003B1A75" w:rsidP="003B1A75">
            <w:pPr>
              <w:rPr>
                <w:rFonts w:ascii="Calibri" w:eastAsia="Calibri" w:hAnsi="Calibri" w:cs="Times New Roman"/>
              </w:rPr>
            </w:pPr>
            <w:r w:rsidRPr="003B1A75">
              <w:rPr>
                <w:rFonts w:ascii="Calibri" w:eastAsia="Calibri" w:hAnsi="Calibri" w:cs="Times New Roman"/>
              </w:rPr>
              <w:t xml:space="preserve">payroll number, driving licence &amp; registration, insurance, MOT, car </w:t>
            </w:r>
          </w:p>
          <w:p w14:paraId="515CBC30" w14:textId="32F44E10" w:rsidR="003B1A75" w:rsidRPr="009B4E10" w:rsidRDefault="003B1A75" w:rsidP="003B1A75">
            <w:pPr>
              <w:rPr>
                <w:rFonts w:ascii="Calibri" w:eastAsia="Calibri" w:hAnsi="Calibri" w:cs="Times New Roman"/>
              </w:rPr>
            </w:pPr>
            <w:r w:rsidRPr="003B1A75">
              <w:rPr>
                <w:rFonts w:ascii="Calibri" w:eastAsia="Calibri" w:hAnsi="Calibri" w:cs="Times New Roman"/>
              </w:rPr>
              <w:t>details)</w:t>
            </w:r>
          </w:p>
          <w:p w14:paraId="03568103" w14:textId="77777777" w:rsidR="009B4E10" w:rsidRPr="009B4E10" w:rsidRDefault="009B4E10" w:rsidP="009B4E10">
            <w:pPr>
              <w:rPr>
                <w:rFonts w:ascii="Calibri" w:eastAsia="Calibri" w:hAnsi="Calibri" w:cs="Times New Roman"/>
              </w:rPr>
            </w:pPr>
            <w:r w:rsidRPr="009B4E10">
              <w:rPr>
                <w:rFonts w:ascii="Calibri" w:eastAsia="Calibri" w:hAnsi="Calibri" w:cs="Times New Roman"/>
              </w:rPr>
              <w:t>Information relating to criminal convictions (DBS checks).</w:t>
            </w:r>
          </w:p>
        </w:tc>
      </w:tr>
      <w:tr w:rsidR="009B4E10" w:rsidRPr="009B4E10" w14:paraId="01C4898F" w14:textId="77777777" w:rsidTr="003B1A75">
        <w:tc>
          <w:tcPr>
            <w:tcW w:w="2743" w:type="dxa"/>
            <w:gridSpan w:val="2"/>
          </w:tcPr>
          <w:p w14:paraId="1AD004B7" w14:textId="77777777" w:rsidR="009B4E10" w:rsidRPr="009B4E10" w:rsidRDefault="009B4E10" w:rsidP="009B4E10">
            <w:pPr>
              <w:rPr>
                <w:rFonts w:ascii="Calibri" w:eastAsia="Calibri" w:hAnsi="Calibri" w:cs="Times New Roman"/>
                <w:b/>
              </w:rPr>
            </w:pPr>
            <w:r w:rsidRPr="009B4E10">
              <w:rPr>
                <w:rFonts w:ascii="Calibri" w:eastAsia="Calibri" w:hAnsi="Calibri" w:cs="Times New Roman"/>
                <w:b/>
              </w:rPr>
              <w:t>Legal basis</w:t>
            </w:r>
          </w:p>
        </w:tc>
        <w:tc>
          <w:tcPr>
            <w:tcW w:w="6273" w:type="dxa"/>
          </w:tcPr>
          <w:p w14:paraId="3951AEEE" w14:textId="77777777" w:rsidR="009B4E10" w:rsidRPr="009B4E10" w:rsidRDefault="009B4E10" w:rsidP="009B4E10">
            <w:pPr>
              <w:rPr>
                <w:rFonts w:ascii="Calibri" w:eastAsia="Calibri" w:hAnsi="Calibri" w:cs="Times New Roman"/>
              </w:rPr>
            </w:pPr>
            <w:r w:rsidRPr="009B4E10">
              <w:rPr>
                <w:rFonts w:ascii="Calibri" w:eastAsia="Calibri" w:hAnsi="Calibri" w:cs="Times New Roman"/>
              </w:rPr>
              <w:t>GDPR Article 6(1)(e) – processing is necessary for the performance of a task carried out in the public interest or in the exercise of official authority</w:t>
            </w:r>
          </w:p>
          <w:p w14:paraId="0DB0C11F" w14:textId="32BF8317" w:rsidR="009B4E10" w:rsidRDefault="009B4E10" w:rsidP="009B4E10">
            <w:pPr>
              <w:rPr>
                <w:rFonts w:ascii="Calibri" w:eastAsia="Calibri" w:hAnsi="Calibri" w:cs="Times New Roman"/>
              </w:rPr>
            </w:pPr>
            <w:r w:rsidRPr="009B4E10">
              <w:rPr>
                <w:rFonts w:ascii="Calibri" w:eastAsia="Calibri" w:hAnsi="Calibri" w:cs="Times New Roman"/>
              </w:rPr>
              <w:t xml:space="preserve">GDPR Article 9(2)(b) – processing is necessary for the purposes of carrying out the obligations and exercising the specific rights of the controller or of the data subject in the field </w:t>
            </w:r>
            <w:r w:rsidR="003B1A75" w:rsidRPr="009B4E10">
              <w:rPr>
                <w:rFonts w:ascii="Calibri" w:eastAsia="Calibri" w:hAnsi="Calibri" w:cs="Times New Roman"/>
              </w:rPr>
              <w:t>of employment</w:t>
            </w:r>
            <w:r w:rsidRPr="009B4E10">
              <w:rPr>
                <w:rFonts w:ascii="Calibri" w:eastAsia="Calibri" w:hAnsi="Calibri" w:cs="Times New Roman"/>
              </w:rPr>
              <w:t>…social protection law in so far as it is authorised by Union or Member State law.</w:t>
            </w:r>
          </w:p>
          <w:p w14:paraId="748B55B4" w14:textId="2063DF04" w:rsidR="003B1A75" w:rsidRDefault="003B1A75" w:rsidP="009B4E10">
            <w:pPr>
              <w:rPr>
                <w:rFonts w:ascii="Calibri" w:eastAsia="Calibri" w:hAnsi="Calibri" w:cs="Times New Roman"/>
              </w:rPr>
            </w:pPr>
          </w:p>
          <w:p w14:paraId="326F6369" w14:textId="28D45E34" w:rsidR="003B1A75" w:rsidRDefault="003B1A75" w:rsidP="003B1A75">
            <w:pPr>
              <w:rPr>
                <w:rFonts w:ascii="Calibri" w:eastAsia="Calibri" w:hAnsi="Calibri" w:cs="Times New Roman"/>
              </w:rPr>
            </w:pPr>
            <w:r w:rsidRPr="003B1A75">
              <w:rPr>
                <w:rFonts w:ascii="Calibri" w:eastAsia="Calibri" w:hAnsi="Calibri" w:cs="Times New Roman"/>
              </w:rPr>
              <w:t>For reimbursement of expenses – GDPR Article 6(1)(b) – processing is necessary for the performance of a contrac</w:t>
            </w:r>
            <w:r>
              <w:rPr>
                <w:rFonts w:ascii="Calibri" w:eastAsia="Calibri" w:hAnsi="Calibri" w:cs="Times New Roman"/>
              </w:rPr>
              <w:t>t.</w:t>
            </w:r>
          </w:p>
          <w:p w14:paraId="762EB8BE" w14:textId="77777777" w:rsidR="003B1A75" w:rsidRPr="009B4E10" w:rsidRDefault="003B1A75" w:rsidP="003B1A75">
            <w:pPr>
              <w:rPr>
                <w:rFonts w:ascii="Calibri" w:eastAsia="Calibri" w:hAnsi="Calibri" w:cs="Times New Roman"/>
              </w:rPr>
            </w:pPr>
          </w:p>
          <w:p w14:paraId="50ED81E0" w14:textId="77777777" w:rsidR="009B4E10" w:rsidRPr="009B4E10" w:rsidRDefault="009B4E10" w:rsidP="009B4E10">
            <w:pPr>
              <w:rPr>
                <w:rFonts w:ascii="Calibri" w:eastAsia="Calibri" w:hAnsi="Calibri" w:cs="Times New Roman"/>
              </w:rPr>
            </w:pPr>
            <w:r w:rsidRPr="009B4E10">
              <w:rPr>
                <w:rFonts w:ascii="Calibri" w:eastAsia="Calibri" w:hAnsi="Calibri" w:cs="Times New Roman"/>
              </w:rPr>
              <w:t xml:space="preserve">For criminal conviction information (obtained via the Disclosure and Barring Service (DBS)) processing meets the requirements of Article 10 of the GDPR under Schedule 1, Part 1 of the Data Protection Act 2018 - processing in connection with employment, </w:t>
            </w:r>
            <w:proofErr w:type="gramStart"/>
            <w:r w:rsidRPr="009B4E10">
              <w:rPr>
                <w:rFonts w:ascii="Calibri" w:eastAsia="Calibri" w:hAnsi="Calibri" w:cs="Times New Roman"/>
              </w:rPr>
              <w:t>health</w:t>
            </w:r>
            <w:proofErr w:type="gramEnd"/>
            <w:r w:rsidRPr="009B4E10">
              <w:rPr>
                <w:rFonts w:ascii="Calibri" w:eastAsia="Calibri" w:hAnsi="Calibri" w:cs="Times New Roman"/>
              </w:rPr>
              <w:t xml:space="preserve"> and research - Processing necessary for the purposes of performing or exercising obligations or rights of the controller or the data subject under employment law, social security law or the law relating to social protection.</w:t>
            </w:r>
          </w:p>
          <w:p w14:paraId="429C5062" w14:textId="77777777" w:rsidR="009B4E10" w:rsidRPr="009B4E10" w:rsidRDefault="009B4E10" w:rsidP="009B4E10">
            <w:pPr>
              <w:rPr>
                <w:rFonts w:ascii="Calibri" w:eastAsia="Calibri" w:hAnsi="Calibri" w:cs="Times New Roman"/>
              </w:rPr>
            </w:pPr>
            <w:r w:rsidRPr="009B4E10">
              <w:rPr>
                <w:rFonts w:ascii="Calibri" w:eastAsia="Calibri" w:hAnsi="Calibri" w:cs="Times New Roman"/>
              </w:rPr>
              <w:t>Relevant legislation: the provisions of the Safeguarding Vulnerable Groups Act 2006 as a basis for carrying our DBS checks.</w:t>
            </w:r>
          </w:p>
        </w:tc>
      </w:tr>
      <w:tr w:rsidR="009B4E10" w:rsidRPr="009B4E10" w14:paraId="3417AD17" w14:textId="77777777" w:rsidTr="003B1A75">
        <w:tc>
          <w:tcPr>
            <w:tcW w:w="2743" w:type="dxa"/>
            <w:gridSpan w:val="2"/>
          </w:tcPr>
          <w:p w14:paraId="6BDDF123" w14:textId="77777777" w:rsidR="009B4E10" w:rsidRPr="009B4E10" w:rsidRDefault="009B4E10" w:rsidP="009B4E10">
            <w:pPr>
              <w:rPr>
                <w:rFonts w:ascii="Calibri" w:eastAsia="Calibri" w:hAnsi="Calibri" w:cs="Times New Roman"/>
                <w:b/>
              </w:rPr>
            </w:pPr>
            <w:r w:rsidRPr="009B4E10">
              <w:rPr>
                <w:rFonts w:ascii="Calibri" w:eastAsia="Calibri" w:hAnsi="Calibri" w:cs="Times New Roman"/>
                <w:b/>
              </w:rPr>
              <w:t>How we collect (the source) and use the information</w:t>
            </w:r>
          </w:p>
        </w:tc>
        <w:tc>
          <w:tcPr>
            <w:tcW w:w="6273" w:type="dxa"/>
          </w:tcPr>
          <w:p w14:paraId="3C78C2C7" w14:textId="77777777" w:rsidR="009B4E10" w:rsidRPr="009B4E10" w:rsidRDefault="009B4E10" w:rsidP="009B4E10">
            <w:pPr>
              <w:rPr>
                <w:rFonts w:ascii="Calibri" w:eastAsia="Calibri" w:hAnsi="Calibri" w:cs="Times New Roman"/>
              </w:rPr>
            </w:pPr>
            <w:r w:rsidRPr="009B4E10">
              <w:rPr>
                <w:rFonts w:ascii="Calibri" w:eastAsia="Calibri" w:hAnsi="Calibri" w:cs="Times New Roman"/>
              </w:rPr>
              <w:t>The CCG uses information for the purposes of employment in a variety of ways including:</w:t>
            </w:r>
          </w:p>
          <w:p w14:paraId="7FD52ED2" w14:textId="77777777" w:rsidR="009B4E10" w:rsidRPr="009B4E10" w:rsidRDefault="009B4E10" w:rsidP="009B4E10">
            <w:pPr>
              <w:numPr>
                <w:ilvl w:val="0"/>
                <w:numId w:val="1"/>
              </w:numPr>
              <w:rPr>
                <w:rFonts w:ascii="Calibri" w:eastAsia="Calibri" w:hAnsi="Calibri" w:cs="Times New Roman"/>
              </w:rPr>
            </w:pPr>
            <w:r w:rsidRPr="009B4E10">
              <w:rPr>
                <w:rFonts w:ascii="Calibri" w:eastAsia="Calibri" w:hAnsi="Calibri" w:cs="Times New Roman"/>
              </w:rPr>
              <w:t>Recruitment – application forms, collecting references, carrying out DBS checks, payroll and pension information.</w:t>
            </w:r>
          </w:p>
          <w:p w14:paraId="30722906" w14:textId="77777777" w:rsidR="009B4E10" w:rsidRPr="009B4E10" w:rsidRDefault="009B4E10" w:rsidP="009B4E10">
            <w:pPr>
              <w:numPr>
                <w:ilvl w:val="0"/>
                <w:numId w:val="1"/>
              </w:numPr>
              <w:rPr>
                <w:rFonts w:ascii="Calibri" w:eastAsia="Calibri" w:hAnsi="Calibri" w:cs="Times New Roman"/>
              </w:rPr>
            </w:pPr>
            <w:r w:rsidRPr="009B4E10">
              <w:rPr>
                <w:rFonts w:ascii="Calibri" w:eastAsia="Calibri" w:hAnsi="Calibri" w:cs="Times New Roman"/>
              </w:rPr>
              <w:t>Managing and monitoring annual leave and sickness.</w:t>
            </w:r>
          </w:p>
          <w:p w14:paraId="269C930A" w14:textId="77777777" w:rsidR="009B4E10" w:rsidRPr="009B4E10" w:rsidRDefault="009B4E10" w:rsidP="009B4E10">
            <w:pPr>
              <w:numPr>
                <w:ilvl w:val="0"/>
                <w:numId w:val="1"/>
              </w:numPr>
              <w:rPr>
                <w:rFonts w:ascii="Calibri" w:eastAsia="Calibri" w:hAnsi="Calibri" w:cs="Times New Roman"/>
              </w:rPr>
            </w:pPr>
            <w:r w:rsidRPr="009B4E10">
              <w:rPr>
                <w:rFonts w:ascii="Calibri" w:eastAsia="Calibri" w:hAnsi="Calibri" w:cs="Times New Roman"/>
              </w:rPr>
              <w:t>Carrying our personal development reviews.</w:t>
            </w:r>
          </w:p>
          <w:p w14:paraId="5FC1A186" w14:textId="77777777" w:rsidR="009B4E10" w:rsidRPr="009B4E10" w:rsidRDefault="009B4E10" w:rsidP="009B4E10">
            <w:pPr>
              <w:numPr>
                <w:ilvl w:val="0"/>
                <w:numId w:val="1"/>
              </w:numPr>
              <w:rPr>
                <w:rFonts w:ascii="Calibri" w:eastAsia="Calibri" w:hAnsi="Calibri" w:cs="Times New Roman"/>
              </w:rPr>
            </w:pPr>
            <w:r w:rsidRPr="009B4E10">
              <w:rPr>
                <w:rFonts w:ascii="Calibri" w:eastAsia="Calibri" w:hAnsi="Calibri" w:cs="Times New Roman"/>
              </w:rPr>
              <w:t>Referrals to Occupational Health</w:t>
            </w:r>
          </w:p>
          <w:p w14:paraId="225E890B" w14:textId="77777777" w:rsidR="009B4E10" w:rsidRPr="009B4E10" w:rsidRDefault="009B4E10" w:rsidP="009B4E10">
            <w:pPr>
              <w:numPr>
                <w:ilvl w:val="0"/>
                <w:numId w:val="1"/>
              </w:numPr>
              <w:rPr>
                <w:rFonts w:ascii="Calibri" w:eastAsia="Calibri" w:hAnsi="Calibri" w:cs="Times New Roman"/>
              </w:rPr>
            </w:pPr>
            <w:r w:rsidRPr="009B4E10">
              <w:rPr>
                <w:rFonts w:ascii="Calibri" w:eastAsia="Calibri" w:hAnsi="Calibri" w:cs="Times New Roman"/>
              </w:rPr>
              <w:t>Disciplinary procedures.</w:t>
            </w:r>
          </w:p>
          <w:p w14:paraId="1FBC2C09" w14:textId="77777777" w:rsidR="009B4E10" w:rsidRPr="009B4E10" w:rsidRDefault="009B4E10" w:rsidP="009B4E10">
            <w:pPr>
              <w:numPr>
                <w:ilvl w:val="0"/>
                <w:numId w:val="1"/>
              </w:numPr>
              <w:rPr>
                <w:rFonts w:ascii="Calibri" w:eastAsia="Calibri" w:hAnsi="Calibri" w:cs="Times New Roman"/>
              </w:rPr>
            </w:pPr>
            <w:r w:rsidRPr="009B4E10">
              <w:rPr>
                <w:rFonts w:ascii="Calibri" w:eastAsia="Calibri" w:hAnsi="Calibri" w:cs="Times New Roman"/>
              </w:rPr>
              <w:t>Processing staff leavers, retirements and providing references.</w:t>
            </w:r>
          </w:p>
          <w:p w14:paraId="52BED975" w14:textId="77777777" w:rsidR="009B4E10" w:rsidRDefault="009B4E10" w:rsidP="009B4E10">
            <w:pPr>
              <w:numPr>
                <w:ilvl w:val="0"/>
                <w:numId w:val="1"/>
              </w:numPr>
              <w:rPr>
                <w:rFonts w:ascii="Calibri" w:eastAsia="Calibri" w:hAnsi="Calibri" w:cs="Times New Roman"/>
              </w:rPr>
            </w:pPr>
            <w:r w:rsidRPr="009B4E10">
              <w:rPr>
                <w:rFonts w:ascii="Calibri" w:eastAsia="Calibri" w:hAnsi="Calibri" w:cs="Times New Roman"/>
              </w:rPr>
              <w:t>Recruitment of temporary staff/student placements</w:t>
            </w:r>
          </w:p>
          <w:p w14:paraId="10F22239" w14:textId="59CB1796" w:rsidR="003B1A75" w:rsidRPr="009B4E10" w:rsidRDefault="003B1A75" w:rsidP="009B4E10">
            <w:pPr>
              <w:numPr>
                <w:ilvl w:val="0"/>
                <w:numId w:val="1"/>
              </w:numPr>
              <w:rPr>
                <w:rFonts w:ascii="Calibri" w:eastAsia="Calibri" w:hAnsi="Calibri" w:cs="Times New Roman"/>
              </w:rPr>
            </w:pPr>
            <w:r>
              <w:rPr>
                <w:rFonts w:ascii="Calibri" w:eastAsia="Calibri" w:hAnsi="Calibri" w:cs="Times New Roman"/>
              </w:rPr>
              <w:t>Reimbursement of expenses</w:t>
            </w:r>
          </w:p>
        </w:tc>
      </w:tr>
      <w:tr w:rsidR="009B4E10" w:rsidRPr="009B4E10" w14:paraId="15CF7FEF" w14:textId="77777777" w:rsidTr="003B1A75">
        <w:tc>
          <w:tcPr>
            <w:tcW w:w="2743" w:type="dxa"/>
            <w:gridSpan w:val="2"/>
          </w:tcPr>
          <w:p w14:paraId="0B5810AB" w14:textId="77777777" w:rsidR="009B4E10" w:rsidRPr="009B4E10" w:rsidRDefault="009B4E10" w:rsidP="009B4E10">
            <w:pPr>
              <w:rPr>
                <w:rFonts w:ascii="Calibri" w:eastAsia="Calibri" w:hAnsi="Calibri" w:cs="Times New Roman"/>
                <w:b/>
              </w:rPr>
            </w:pPr>
            <w:r w:rsidRPr="009B4E10">
              <w:rPr>
                <w:rFonts w:ascii="Calibri" w:eastAsia="Calibri" w:hAnsi="Calibri" w:cs="Times New Roman"/>
                <w:b/>
              </w:rPr>
              <w:t>Data Processors</w:t>
            </w:r>
          </w:p>
        </w:tc>
        <w:tc>
          <w:tcPr>
            <w:tcW w:w="6273" w:type="dxa"/>
          </w:tcPr>
          <w:p w14:paraId="4C842445" w14:textId="77777777" w:rsidR="009B4E10" w:rsidRPr="009B4E10" w:rsidRDefault="009B4E10" w:rsidP="009B4E10">
            <w:pPr>
              <w:rPr>
                <w:rFonts w:ascii="Calibri" w:eastAsia="Calibri" w:hAnsi="Calibri" w:cs="Times New Roman"/>
              </w:rPr>
            </w:pPr>
            <w:r w:rsidRPr="009B4E10">
              <w:rPr>
                <w:rFonts w:ascii="Calibri" w:eastAsia="Calibri" w:hAnsi="Calibri" w:cs="Times New Roman"/>
              </w:rPr>
              <w:t>IBM (system supplier of the Electronic Staff Record - ESR)</w:t>
            </w:r>
          </w:p>
          <w:p w14:paraId="04705518" w14:textId="77777777" w:rsidR="009B4E10" w:rsidRPr="009B4E10" w:rsidRDefault="009B4E10" w:rsidP="009B4E10">
            <w:pPr>
              <w:rPr>
                <w:rFonts w:ascii="Calibri" w:eastAsia="Calibri" w:hAnsi="Calibri" w:cs="Times New Roman"/>
              </w:rPr>
            </w:pPr>
            <w:r w:rsidRPr="009B4E10">
              <w:rPr>
                <w:rFonts w:ascii="Calibri" w:eastAsia="Calibri" w:hAnsi="Calibri" w:cs="Times New Roman"/>
              </w:rPr>
              <w:lastRenderedPageBreak/>
              <w:t xml:space="preserve">Methods Consulting Ltd – management of </w:t>
            </w:r>
            <w:hyperlink r:id="rId7" w:history="1">
              <w:r w:rsidRPr="009B4E10">
                <w:rPr>
                  <w:rFonts w:ascii="Calibri" w:eastAsia="Calibri" w:hAnsi="Calibri" w:cs="Times New Roman"/>
                  <w:color w:val="0000FF"/>
                  <w:u w:val="single"/>
                </w:rPr>
                <w:t>NHS Jobs</w:t>
              </w:r>
            </w:hyperlink>
            <w:r w:rsidRPr="009B4E10">
              <w:rPr>
                <w:rFonts w:ascii="Calibri" w:eastAsia="Calibri" w:hAnsi="Calibri" w:cs="Times New Roman"/>
              </w:rPr>
              <w:t xml:space="preserve"> (recruitment website)</w:t>
            </w:r>
          </w:p>
          <w:p w14:paraId="647D2E04" w14:textId="07731833" w:rsidR="009B4E10" w:rsidRDefault="009B4E10" w:rsidP="009B4E10">
            <w:pPr>
              <w:rPr>
                <w:rFonts w:ascii="Calibri" w:eastAsia="Calibri" w:hAnsi="Calibri" w:cs="Times New Roman"/>
              </w:rPr>
            </w:pPr>
            <w:r w:rsidRPr="009B4E10">
              <w:rPr>
                <w:rFonts w:ascii="Calibri" w:eastAsia="Calibri" w:hAnsi="Calibri" w:cs="Times New Roman"/>
              </w:rPr>
              <w:t>NHS SBS (finance system) for payroll purposes</w:t>
            </w:r>
          </w:p>
          <w:p w14:paraId="65741027" w14:textId="68DF41F7" w:rsidR="003B1A75" w:rsidRPr="009B4E10" w:rsidRDefault="003B1A75" w:rsidP="009B4E10">
            <w:pPr>
              <w:rPr>
                <w:rFonts w:ascii="Calibri" w:eastAsia="Calibri" w:hAnsi="Calibri" w:cs="Times New Roman"/>
              </w:rPr>
            </w:pPr>
            <w:r>
              <w:rPr>
                <w:rFonts w:ascii="Calibri" w:eastAsia="Calibri" w:hAnsi="Calibri" w:cs="Times New Roman"/>
              </w:rPr>
              <w:t>Victoria Pay Services</w:t>
            </w:r>
          </w:p>
          <w:p w14:paraId="315B476A" w14:textId="57F2983D" w:rsidR="003B1A75" w:rsidRPr="009B4E10" w:rsidRDefault="003B1A75" w:rsidP="003B1A75">
            <w:pPr>
              <w:rPr>
                <w:rFonts w:ascii="Calibri" w:eastAsia="Calibri" w:hAnsi="Calibri" w:cs="Times New Roman"/>
              </w:rPr>
            </w:pPr>
            <w:r>
              <w:rPr>
                <w:rFonts w:ascii="Calibri" w:eastAsia="Calibri" w:hAnsi="Calibri" w:cs="Times New Roman"/>
              </w:rPr>
              <w:t>Hull CCG</w:t>
            </w:r>
          </w:p>
        </w:tc>
      </w:tr>
      <w:tr w:rsidR="009B4E10" w:rsidRPr="009B4E10" w14:paraId="58D06443" w14:textId="77777777" w:rsidTr="003B1A75">
        <w:tc>
          <w:tcPr>
            <w:tcW w:w="2743" w:type="dxa"/>
            <w:gridSpan w:val="2"/>
          </w:tcPr>
          <w:p w14:paraId="546B9FCE" w14:textId="77777777" w:rsidR="009B4E10" w:rsidRPr="009B4E10" w:rsidRDefault="009B4E10" w:rsidP="009B4E10">
            <w:pPr>
              <w:rPr>
                <w:rFonts w:ascii="Calibri" w:eastAsia="Calibri" w:hAnsi="Calibri" w:cs="Times New Roman"/>
                <w:b/>
              </w:rPr>
            </w:pPr>
            <w:r w:rsidRPr="009B4E10">
              <w:rPr>
                <w:rFonts w:ascii="Calibri" w:eastAsia="Calibri" w:hAnsi="Calibri" w:cs="Times New Roman"/>
                <w:b/>
              </w:rPr>
              <w:lastRenderedPageBreak/>
              <w:t>Transfer of information overseas</w:t>
            </w:r>
          </w:p>
        </w:tc>
        <w:tc>
          <w:tcPr>
            <w:tcW w:w="6273" w:type="dxa"/>
          </w:tcPr>
          <w:p w14:paraId="3FDE9394" w14:textId="6EDAFFFD" w:rsidR="009B4E10" w:rsidRPr="009B4E10" w:rsidRDefault="009B4E10" w:rsidP="009B4E10">
            <w:pPr>
              <w:rPr>
                <w:rFonts w:ascii="Calibri" w:eastAsia="Calibri" w:hAnsi="Calibri" w:cs="Times New Roman"/>
              </w:rPr>
            </w:pPr>
            <w:r w:rsidRPr="009B4E10">
              <w:rPr>
                <w:rFonts w:ascii="Calibri" w:eastAsia="Calibri" w:hAnsi="Calibri" w:cs="Times New Roman"/>
              </w:rPr>
              <w:t xml:space="preserve">NHS SBS carry out some of their processing activity in India. Where this </w:t>
            </w:r>
            <w:r w:rsidR="003D66C1" w:rsidRPr="009B4E10">
              <w:rPr>
                <w:rFonts w:ascii="Calibri" w:eastAsia="Calibri" w:hAnsi="Calibri" w:cs="Times New Roman"/>
              </w:rPr>
              <w:t>occurs,</w:t>
            </w:r>
            <w:r w:rsidRPr="009B4E10">
              <w:rPr>
                <w:rFonts w:ascii="Calibri" w:eastAsia="Calibri" w:hAnsi="Calibri" w:cs="Times New Roman"/>
              </w:rPr>
              <w:t xml:space="preserve"> it is governed </w:t>
            </w:r>
            <w:proofErr w:type="gramStart"/>
            <w:r w:rsidRPr="009B4E10">
              <w:rPr>
                <w:rFonts w:ascii="Calibri" w:eastAsia="Calibri" w:hAnsi="Calibri" w:cs="Times New Roman"/>
              </w:rPr>
              <w:t>by the use of</w:t>
            </w:r>
            <w:proofErr w:type="gramEnd"/>
            <w:r w:rsidRPr="009B4E10">
              <w:rPr>
                <w:rFonts w:ascii="Calibri" w:eastAsia="Calibri" w:hAnsi="Calibri" w:cs="Times New Roman"/>
              </w:rPr>
              <w:t xml:space="preserve"> approved Model Contract Clauses.</w:t>
            </w:r>
          </w:p>
        </w:tc>
      </w:tr>
      <w:tr w:rsidR="009B4E10" w:rsidRPr="009B4E10" w14:paraId="3D423BCE" w14:textId="77777777" w:rsidTr="003B1A75">
        <w:tc>
          <w:tcPr>
            <w:tcW w:w="2731" w:type="dxa"/>
          </w:tcPr>
          <w:p w14:paraId="0DD3BEAA" w14:textId="10C75180" w:rsidR="009B4E10" w:rsidRPr="009B4E10" w:rsidRDefault="007709E1" w:rsidP="009B4E10">
            <w:pPr>
              <w:rPr>
                <w:rFonts w:ascii="Calibri" w:eastAsia="Calibri" w:hAnsi="Calibri" w:cs="Times New Roman"/>
                <w:b/>
              </w:rPr>
            </w:pPr>
            <w:r>
              <w:br w:type="page"/>
            </w:r>
            <w:r w:rsidR="009B4E10" w:rsidRPr="009B4E10">
              <w:rPr>
                <w:rFonts w:ascii="Calibri" w:eastAsia="Calibri" w:hAnsi="Calibri" w:cs="Times New Roman"/>
                <w:b/>
              </w:rPr>
              <w:t>Your Rights</w:t>
            </w:r>
          </w:p>
        </w:tc>
        <w:tc>
          <w:tcPr>
            <w:tcW w:w="6285" w:type="dxa"/>
            <w:gridSpan w:val="2"/>
          </w:tcPr>
          <w:p w14:paraId="0F4640A6" w14:textId="77777777" w:rsidR="009B4E10" w:rsidRPr="009B4E10" w:rsidRDefault="009B4E10" w:rsidP="009B4E10">
            <w:pPr>
              <w:rPr>
                <w:rFonts w:ascii="Calibri" w:eastAsia="Calibri" w:hAnsi="Calibri" w:cs="Times New Roman"/>
              </w:rPr>
            </w:pPr>
            <w:r w:rsidRPr="009B4E10">
              <w:rPr>
                <w:rFonts w:ascii="Calibri" w:eastAsia="Calibri" w:hAnsi="Calibri" w:cs="Times New Roman"/>
              </w:rPr>
              <w:t>Under GDPR you have the right:</w:t>
            </w:r>
          </w:p>
          <w:p w14:paraId="152ADF53" w14:textId="77777777" w:rsidR="009B4E10" w:rsidRPr="009B4E10" w:rsidRDefault="009B4E10" w:rsidP="009B4E10">
            <w:pPr>
              <w:numPr>
                <w:ilvl w:val="0"/>
                <w:numId w:val="2"/>
              </w:numPr>
              <w:rPr>
                <w:rFonts w:ascii="Calibri" w:eastAsia="Calibri" w:hAnsi="Calibri" w:cs="Times New Roman"/>
              </w:rPr>
            </w:pPr>
            <w:r w:rsidRPr="009B4E10">
              <w:rPr>
                <w:rFonts w:ascii="Calibri" w:eastAsia="Calibri" w:hAnsi="Calibri" w:cs="Times New Roman"/>
              </w:rPr>
              <w:t>To be informed about the processing of your information (this notice)</w:t>
            </w:r>
          </w:p>
          <w:p w14:paraId="28C61D6A" w14:textId="77777777" w:rsidR="009B4E10" w:rsidRPr="009B4E10" w:rsidRDefault="009B4E10" w:rsidP="009B4E10">
            <w:pPr>
              <w:numPr>
                <w:ilvl w:val="0"/>
                <w:numId w:val="2"/>
              </w:numPr>
              <w:rPr>
                <w:rFonts w:ascii="Calibri" w:eastAsia="Calibri" w:hAnsi="Calibri" w:cs="Times New Roman"/>
              </w:rPr>
            </w:pPr>
            <w:r w:rsidRPr="009B4E10">
              <w:rPr>
                <w:rFonts w:ascii="Calibri" w:eastAsia="Calibri" w:hAnsi="Calibri" w:cs="Times New Roman"/>
              </w:rPr>
              <w:t>Of access to the information held about you</w:t>
            </w:r>
          </w:p>
          <w:p w14:paraId="53633011" w14:textId="77777777" w:rsidR="009B4E10" w:rsidRPr="009B4E10" w:rsidRDefault="009B4E10" w:rsidP="009B4E10">
            <w:pPr>
              <w:numPr>
                <w:ilvl w:val="0"/>
                <w:numId w:val="2"/>
              </w:numPr>
              <w:rPr>
                <w:rFonts w:ascii="Calibri" w:eastAsia="Calibri" w:hAnsi="Calibri" w:cs="Times New Roman"/>
              </w:rPr>
            </w:pPr>
            <w:r w:rsidRPr="009B4E10">
              <w:rPr>
                <w:rFonts w:ascii="Calibri" w:eastAsia="Calibri" w:hAnsi="Calibri" w:cs="Times New Roman"/>
              </w:rPr>
              <w:t xml:space="preserve">To have the information corrected </w:t>
            </w:r>
            <w:proofErr w:type="gramStart"/>
            <w:r w:rsidRPr="009B4E10">
              <w:rPr>
                <w:rFonts w:ascii="Calibri" w:eastAsia="Calibri" w:hAnsi="Calibri" w:cs="Times New Roman"/>
              </w:rPr>
              <w:t>in the event that</w:t>
            </w:r>
            <w:proofErr w:type="gramEnd"/>
            <w:r w:rsidRPr="009B4E10">
              <w:rPr>
                <w:rFonts w:ascii="Calibri" w:eastAsia="Calibri" w:hAnsi="Calibri" w:cs="Times New Roman"/>
              </w:rPr>
              <w:t xml:space="preserve"> it is inaccurate</w:t>
            </w:r>
          </w:p>
          <w:p w14:paraId="1F37DDBC" w14:textId="77777777" w:rsidR="009B4E10" w:rsidRPr="009B4E10" w:rsidRDefault="009B4E10" w:rsidP="009B4E10">
            <w:pPr>
              <w:numPr>
                <w:ilvl w:val="0"/>
                <w:numId w:val="2"/>
              </w:numPr>
              <w:rPr>
                <w:rFonts w:ascii="Calibri" w:eastAsia="Calibri" w:hAnsi="Calibri" w:cs="Times New Roman"/>
              </w:rPr>
            </w:pPr>
            <w:r w:rsidRPr="009B4E10">
              <w:rPr>
                <w:rFonts w:ascii="Calibri" w:eastAsia="Calibri" w:hAnsi="Calibri" w:cs="Times New Roman"/>
              </w:rPr>
              <w:t>To be notified of data breaches</w:t>
            </w:r>
          </w:p>
        </w:tc>
      </w:tr>
      <w:tr w:rsidR="009B4E10" w:rsidRPr="009B4E10" w14:paraId="613C4AF8" w14:textId="77777777" w:rsidTr="003B1A75">
        <w:tc>
          <w:tcPr>
            <w:tcW w:w="2731" w:type="dxa"/>
          </w:tcPr>
          <w:p w14:paraId="30FD24C1" w14:textId="77777777" w:rsidR="009B4E10" w:rsidRPr="009B4E10" w:rsidRDefault="009B4E10" w:rsidP="009B4E10">
            <w:pPr>
              <w:rPr>
                <w:rFonts w:ascii="Calibri" w:eastAsia="Calibri" w:hAnsi="Calibri" w:cs="Times New Roman"/>
                <w:b/>
              </w:rPr>
            </w:pPr>
            <w:r w:rsidRPr="009B4E10">
              <w:rPr>
                <w:rFonts w:ascii="Calibri" w:eastAsia="Calibri" w:hAnsi="Calibri" w:cs="Times New Roman"/>
                <w:b/>
              </w:rPr>
              <w:t>How long we will keep the information</w:t>
            </w:r>
          </w:p>
        </w:tc>
        <w:tc>
          <w:tcPr>
            <w:tcW w:w="6285" w:type="dxa"/>
            <w:gridSpan w:val="2"/>
          </w:tcPr>
          <w:p w14:paraId="7A77CE8F" w14:textId="1FB1F853" w:rsidR="009B4E10" w:rsidRPr="009B4E10" w:rsidRDefault="00DE5719" w:rsidP="009B4E10">
            <w:pPr>
              <w:rPr>
                <w:rFonts w:ascii="Calibri" w:eastAsia="Calibri" w:hAnsi="Calibri" w:cs="Times New Roman"/>
              </w:rPr>
            </w:pPr>
            <w:r>
              <w:rPr>
                <w:rFonts w:ascii="Calibri" w:eastAsia="Calibri" w:hAnsi="Calibri" w:cs="Times New Roman"/>
                <w:lang w:val="en-US"/>
              </w:rPr>
              <w:t xml:space="preserve">The </w:t>
            </w:r>
            <w:proofErr w:type="spellStart"/>
            <w:r>
              <w:rPr>
                <w:rFonts w:ascii="Calibri" w:eastAsia="Calibri" w:hAnsi="Calibri" w:cs="Times New Roman"/>
                <w:lang w:val="en-US"/>
              </w:rPr>
              <w:t>organisation</w:t>
            </w:r>
            <w:proofErr w:type="spellEnd"/>
            <w:r>
              <w:rPr>
                <w:rFonts w:ascii="Calibri" w:eastAsia="Calibri" w:hAnsi="Calibri" w:cs="Times New Roman"/>
                <w:lang w:val="en-US"/>
              </w:rPr>
              <w:t xml:space="preserve"> has adopted The Records Management Code of Practice for Health and Social Care 2021.  Data will be retained in accordance with this code and the accompanied retention schedule.</w:t>
            </w:r>
          </w:p>
        </w:tc>
      </w:tr>
      <w:tr w:rsidR="009B4E10" w:rsidRPr="009B4E10" w14:paraId="7D41407E" w14:textId="77777777" w:rsidTr="003B1A75">
        <w:tc>
          <w:tcPr>
            <w:tcW w:w="2731" w:type="dxa"/>
          </w:tcPr>
          <w:p w14:paraId="6114F238" w14:textId="77777777" w:rsidR="009B4E10" w:rsidRPr="009B4E10" w:rsidRDefault="009B4E10" w:rsidP="009B4E10">
            <w:pPr>
              <w:rPr>
                <w:rFonts w:ascii="Calibri" w:eastAsia="Calibri" w:hAnsi="Calibri" w:cs="Times New Roman"/>
                <w:b/>
              </w:rPr>
            </w:pPr>
            <w:r w:rsidRPr="009B4E10">
              <w:rPr>
                <w:rFonts w:ascii="Calibri" w:eastAsia="Calibri" w:hAnsi="Calibri" w:cs="Times New Roman"/>
                <w:b/>
              </w:rPr>
              <w:t>Who we will share the information with (recipients)</w:t>
            </w:r>
          </w:p>
        </w:tc>
        <w:tc>
          <w:tcPr>
            <w:tcW w:w="6285" w:type="dxa"/>
            <w:gridSpan w:val="2"/>
          </w:tcPr>
          <w:p w14:paraId="7B9D3E49" w14:textId="77777777" w:rsidR="009B4E10" w:rsidRPr="009B4E10" w:rsidRDefault="009B4E10" w:rsidP="009B4E10">
            <w:pPr>
              <w:rPr>
                <w:rFonts w:ascii="Calibri" w:eastAsia="Calibri" w:hAnsi="Calibri" w:cs="Times New Roman"/>
              </w:rPr>
            </w:pPr>
            <w:r w:rsidRPr="009B4E10">
              <w:rPr>
                <w:rFonts w:ascii="Calibri" w:eastAsia="Calibri" w:hAnsi="Calibri" w:cs="Times New Roman"/>
              </w:rPr>
              <w:t xml:space="preserve">In addition to the sharing with our named Data Processors above - the CCG shares information with a variety of organisation and individuals for </w:t>
            </w:r>
            <w:proofErr w:type="gramStart"/>
            <w:r w:rsidRPr="009B4E10">
              <w:rPr>
                <w:rFonts w:ascii="Calibri" w:eastAsia="Calibri" w:hAnsi="Calibri" w:cs="Times New Roman"/>
              </w:rPr>
              <w:t>a number of</w:t>
            </w:r>
            <w:proofErr w:type="gramEnd"/>
            <w:r w:rsidRPr="009B4E10">
              <w:rPr>
                <w:rFonts w:ascii="Calibri" w:eastAsia="Calibri" w:hAnsi="Calibri" w:cs="Times New Roman"/>
              </w:rPr>
              <w:t xml:space="preserve"> lawful purposes including:</w:t>
            </w:r>
          </w:p>
          <w:p w14:paraId="5A6B5E98" w14:textId="77777777" w:rsidR="009B4E10" w:rsidRPr="009B4E10" w:rsidRDefault="009B4E10" w:rsidP="009B4E10">
            <w:pPr>
              <w:numPr>
                <w:ilvl w:val="0"/>
                <w:numId w:val="3"/>
              </w:numPr>
              <w:rPr>
                <w:rFonts w:ascii="Calibri" w:eastAsia="Calibri" w:hAnsi="Calibri" w:cs="Times New Roman"/>
              </w:rPr>
            </w:pPr>
            <w:r w:rsidRPr="009B4E10">
              <w:rPr>
                <w:rFonts w:ascii="Calibri" w:eastAsia="Calibri" w:hAnsi="Calibri" w:cs="Times New Roman"/>
              </w:rPr>
              <w:t>Public disclosure under Freedom of Information - e.g. requested names or contact details of senior managers or those in public-facing roles;</w:t>
            </w:r>
          </w:p>
          <w:p w14:paraId="6418D298" w14:textId="77777777" w:rsidR="009B4E10" w:rsidRPr="009B4E10" w:rsidRDefault="009B4E10" w:rsidP="009B4E10">
            <w:pPr>
              <w:numPr>
                <w:ilvl w:val="0"/>
                <w:numId w:val="3"/>
              </w:numPr>
              <w:rPr>
                <w:rFonts w:ascii="Calibri" w:eastAsia="Calibri" w:hAnsi="Calibri" w:cs="Times New Roman"/>
              </w:rPr>
            </w:pPr>
            <w:r w:rsidRPr="009B4E10">
              <w:rPr>
                <w:rFonts w:ascii="Calibri" w:eastAsia="Calibri" w:hAnsi="Calibri" w:cs="Times New Roman"/>
              </w:rPr>
              <w:t>Disclosure of job applicant details - e.g. to named referees for reference checks, to the Disclosure &amp; Barring Service for criminal record checks</w:t>
            </w:r>
          </w:p>
          <w:p w14:paraId="27540835" w14:textId="77777777" w:rsidR="009B4E10" w:rsidRPr="009B4E10" w:rsidRDefault="009B4E10" w:rsidP="009B4E10">
            <w:pPr>
              <w:numPr>
                <w:ilvl w:val="0"/>
                <w:numId w:val="3"/>
              </w:numPr>
              <w:rPr>
                <w:rFonts w:ascii="Calibri" w:eastAsia="Calibri" w:hAnsi="Calibri" w:cs="Times New Roman"/>
              </w:rPr>
            </w:pPr>
            <w:r w:rsidRPr="009B4E10">
              <w:rPr>
                <w:rFonts w:ascii="Calibri" w:eastAsia="Calibri" w:hAnsi="Calibri" w:cs="Times New Roman"/>
              </w:rPr>
              <w:t>Disclosure to employment agencies - e.g. in respect of agency staff;</w:t>
            </w:r>
          </w:p>
          <w:p w14:paraId="5DCB9DD0" w14:textId="77777777" w:rsidR="009B4E10" w:rsidRPr="009B4E10" w:rsidRDefault="009B4E10" w:rsidP="009B4E10">
            <w:pPr>
              <w:numPr>
                <w:ilvl w:val="0"/>
                <w:numId w:val="3"/>
              </w:numPr>
              <w:rPr>
                <w:rFonts w:ascii="Calibri" w:eastAsia="Calibri" w:hAnsi="Calibri" w:cs="Times New Roman"/>
              </w:rPr>
            </w:pPr>
            <w:r w:rsidRPr="009B4E10">
              <w:rPr>
                <w:rFonts w:ascii="Calibri" w:eastAsia="Calibri" w:hAnsi="Calibri" w:cs="Times New Roman"/>
              </w:rPr>
              <w:t>Disclosure to banks &amp; insurance companies - e.g. to confirm employment details in respect of loan/mortgage applications/guarantees;</w:t>
            </w:r>
          </w:p>
          <w:p w14:paraId="6772161E" w14:textId="77777777" w:rsidR="009B4E10" w:rsidRPr="009B4E10" w:rsidRDefault="009B4E10" w:rsidP="009B4E10">
            <w:pPr>
              <w:numPr>
                <w:ilvl w:val="0"/>
                <w:numId w:val="3"/>
              </w:numPr>
              <w:rPr>
                <w:rFonts w:ascii="Calibri" w:eastAsia="Calibri" w:hAnsi="Calibri" w:cs="Times New Roman"/>
              </w:rPr>
            </w:pPr>
            <w:r w:rsidRPr="009B4E10">
              <w:rPr>
                <w:rFonts w:ascii="Calibri" w:eastAsia="Calibri" w:hAnsi="Calibri" w:cs="Times New Roman"/>
              </w:rPr>
              <w:t>Disclosure to professional registration organisations - e.g. in respect of fitness to practice hearings;</w:t>
            </w:r>
          </w:p>
          <w:p w14:paraId="1EC769C6" w14:textId="77777777" w:rsidR="009B4E10" w:rsidRPr="009B4E10" w:rsidRDefault="009B4E10" w:rsidP="009B4E10">
            <w:pPr>
              <w:numPr>
                <w:ilvl w:val="0"/>
                <w:numId w:val="3"/>
              </w:numPr>
              <w:rPr>
                <w:rFonts w:ascii="Calibri" w:eastAsia="Calibri" w:hAnsi="Calibri" w:cs="Times New Roman"/>
              </w:rPr>
            </w:pPr>
            <w:r w:rsidRPr="009B4E10">
              <w:rPr>
                <w:rFonts w:ascii="Calibri" w:eastAsia="Calibri" w:hAnsi="Calibri" w:cs="Times New Roman"/>
              </w:rPr>
              <w:t>Disclosure to Occupational Health professionals (subject to explicit consent);</w:t>
            </w:r>
          </w:p>
          <w:p w14:paraId="6331817B" w14:textId="77777777" w:rsidR="009B4E10" w:rsidRPr="009B4E10" w:rsidRDefault="009B4E10" w:rsidP="009B4E10">
            <w:pPr>
              <w:numPr>
                <w:ilvl w:val="0"/>
                <w:numId w:val="3"/>
              </w:numPr>
              <w:rPr>
                <w:rFonts w:ascii="Calibri" w:eastAsia="Calibri" w:hAnsi="Calibri" w:cs="Times New Roman"/>
              </w:rPr>
            </w:pPr>
            <w:r w:rsidRPr="009B4E10">
              <w:rPr>
                <w:rFonts w:ascii="Calibri" w:eastAsia="Calibri" w:hAnsi="Calibri" w:cs="Times New Roman"/>
              </w:rPr>
              <w:t>Disclosure to police or fraud investigators - e.g. in respect of investigations into incidents, allegations or enquiries.</w:t>
            </w:r>
          </w:p>
        </w:tc>
      </w:tr>
    </w:tbl>
    <w:p w14:paraId="4B5428CB" w14:textId="77777777" w:rsidR="00540C5B" w:rsidRDefault="00540C5B"/>
    <w:sectPr w:rsidR="00540C5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E41B6" w14:textId="77777777" w:rsidR="003D66C1" w:rsidRDefault="003D66C1" w:rsidP="003D66C1">
      <w:pPr>
        <w:spacing w:after="0" w:line="240" w:lineRule="auto"/>
      </w:pPr>
      <w:r>
        <w:separator/>
      </w:r>
    </w:p>
  </w:endnote>
  <w:endnote w:type="continuationSeparator" w:id="0">
    <w:p w14:paraId="7360CAB0" w14:textId="77777777" w:rsidR="003D66C1" w:rsidRDefault="003D66C1" w:rsidP="003D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8318" w14:textId="6713E64F" w:rsidR="003D66C1" w:rsidRDefault="003B1A75">
    <w:pPr>
      <w:pStyle w:val="Footer"/>
    </w:pPr>
    <w:r>
      <w:t>April 2022 (v3)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78B7B" w14:textId="77777777" w:rsidR="003D66C1" w:rsidRDefault="003D66C1" w:rsidP="003D66C1">
      <w:pPr>
        <w:spacing w:after="0" w:line="240" w:lineRule="auto"/>
      </w:pPr>
      <w:r>
        <w:separator/>
      </w:r>
    </w:p>
  </w:footnote>
  <w:footnote w:type="continuationSeparator" w:id="0">
    <w:p w14:paraId="0D89DFDB" w14:textId="77777777" w:rsidR="003D66C1" w:rsidRDefault="003D66C1" w:rsidP="003D6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29F8"/>
    <w:multiLevelType w:val="hybridMultilevel"/>
    <w:tmpl w:val="80F81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85029E"/>
    <w:multiLevelType w:val="hybridMultilevel"/>
    <w:tmpl w:val="2DA80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105175"/>
    <w:multiLevelType w:val="hybridMultilevel"/>
    <w:tmpl w:val="5BFA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8F5"/>
    <w:rsid w:val="001176AE"/>
    <w:rsid w:val="003B1A75"/>
    <w:rsid w:val="003D66C1"/>
    <w:rsid w:val="005407E3"/>
    <w:rsid w:val="00540C5B"/>
    <w:rsid w:val="007709E1"/>
    <w:rsid w:val="009B4E10"/>
    <w:rsid w:val="00DE5719"/>
    <w:rsid w:val="00EB2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2FF5"/>
  <w15:docId w15:val="{5972E1B2-F78F-40D9-98AF-63287E42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07E3"/>
    <w:rPr>
      <w:sz w:val="16"/>
      <w:szCs w:val="16"/>
    </w:rPr>
  </w:style>
  <w:style w:type="paragraph" w:styleId="CommentText">
    <w:name w:val="annotation text"/>
    <w:basedOn w:val="Normal"/>
    <w:link w:val="CommentTextChar"/>
    <w:uiPriority w:val="99"/>
    <w:semiHidden/>
    <w:unhideWhenUsed/>
    <w:rsid w:val="005407E3"/>
    <w:pPr>
      <w:spacing w:line="240" w:lineRule="auto"/>
    </w:pPr>
    <w:rPr>
      <w:sz w:val="20"/>
      <w:szCs w:val="20"/>
    </w:rPr>
  </w:style>
  <w:style w:type="character" w:customStyle="1" w:styleId="CommentTextChar">
    <w:name w:val="Comment Text Char"/>
    <w:basedOn w:val="DefaultParagraphFont"/>
    <w:link w:val="CommentText"/>
    <w:uiPriority w:val="99"/>
    <w:semiHidden/>
    <w:rsid w:val="005407E3"/>
    <w:rPr>
      <w:sz w:val="20"/>
      <w:szCs w:val="20"/>
    </w:rPr>
  </w:style>
  <w:style w:type="paragraph" w:styleId="CommentSubject">
    <w:name w:val="annotation subject"/>
    <w:basedOn w:val="CommentText"/>
    <w:next w:val="CommentText"/>
    <w:link w:val="CommentSubjectChar"/>
    <w:uiPriority w:val="99"/>
    <w:semiHidden/>
    <w:unhideWhenUsed/>
    <w:rsid w:val="005407E3"/>
    <w:rPr>
      <w:b/>
      <w:bCs/>
    </w:rPr>
  </w:style>
  <w:style w:type="character" w:customStyle="1" w:styleId="CommentSubjectChar">
    <w:name w:val="Comment Subject Char"/>
    <w:basedOn w:val="CommentTextChar"/>
    <w:link w:val="CommentSubject"/>
    <w:uiPriority w:val="99"/>
    <w:semiHidden/>
    <w:rsid w:val="005407E3"/>
    <w:rPr>
      <w:b/>
      <w:bCs/>
      <w:sz w:val="20"/>
      <w:szCs w:val="20"/>
    </w:rPr>
  </w:style>
  <w:style w:type="paragraph" w:styleId="BalloonText">
    <w:name w:val="Balloon Text"/>
    <w:basedOn w:val="Normal"/>
    <w:link w:val="BalloonTextChar"/>
    <w:uiPriority w:val="99"/>
    <w:semiHidden/>
    <w:unhideWhenUsed/>
    <w:rsid w:val="00540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7E3"/>
    <w:rPr>
      <w:rFonts w:ascii="Segoe UI" w:hAnsi="Segoe UI" w:cs="Segoe UI"/>
      <w:sz w:val="18"/>
      <w:szCs w:val="18"/>
    </w:rPr>
  </w:style>
  <w:style w:type="table" w:styleId="TableGridLight">
    <w:name w:val="Grid Table Light"/>
    <w:basedOn w:val="TableNormal"/>
    <w:uiPriority w:val="40"/>
    <w:rsid w:val="005407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1176AE"/>
    <w:pPr>
      <w:spacing w:after="0" w:line="240" w:lineRule="auto"/>
      <w:ind w:left="720"/>
    </w:pPr>
    <w:rPr>
      <w:rFonts w:ascii="Calibri" w:eastAsia="Times New Roman" w:hAnsi="Calibri" w:cs="Times New Roman"/>
    </w:rPr>
  </w:style>
  <w:style w:type="paragraph" w:styleId="Header">
    <w:name w:val="header"/>
    <w:basedOn w:val="Normal"/>
    <w:link w:val="HeaderChar"/>
    <w:uiPriority w:val="99"/>
    <w:unhideWhenUsed/>
    <w:rsid w:val="003D6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6C1"/>
  </w:style>
  <w:style w:type="paragraph" w:styleId="Footer">
    <w:name w:val="footer"/>
    <w:basedOn w:val="Normal"/>
    <w:link w:val="FooterChar"/>
    <w:uiPriority w:val="99"/>
    <w:unhideWhenUsed/>
    <w:rsid w:val="003D6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6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obs.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cp:lastModifiedBy>
  <cp:revision>3</cp:revision>
  <dcterms:created xsi:type="dcterms:W3CDTF">2021-09-09T18:19:00Z</dcterms:created>
  <dcterms:modified xsi:type="dcterms:W3CDTF">2022-04-04T15:53:00Z</dcterms:modified>
</cp:coreProperties>
</file>