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E6D77" w14:textId="77777777" w:rsidR="00A740D7" w:rsidRPr="009F6B46" w:rsidRDefault="00A740D7" w:rsidP="00A740D7">
      <w:pPr>
        <w:rPr>
          <w:rFonts w:ascii="Cambria" w:hAnsi="Cambria"/>
          <w:b/>
          <w:sz w:val="32"/>
          <w:szCs w:val="32"/>
        </w:rPr>
      </w:pPr>
      <w:bookmarkStart w:id="0" w:name="_Ref515632511"/>
      <w:r w:rsidRPr="009F6B46">
        <w:rPr>
          <w:rFonts w:ascii="Cambria" w:hAnsi="Cambria"/>
          <w:b/>
          <w:sz w:val="32"/>
          <w:szCs w:val="32"/>
        </w:rPr>
        <w:t>Complaints</w:t>
      </w:r>
      <w:bookmarkEnd w:id="0"/>
      <w:r w:rsidRPr="00FE4633">
        <w:t xml:space="preserve"> </w:t>
      </w:r>
      <w:r>
        <w:t xml:space="preserve">/ </w:t>
      </w:r>
      <w:r w:rsidRPr="00FE4633">
        <w:rPr>
          <w:rFonts w:ascii="Cambria" w:hAnsi="Cambria"/>
          <w:b/>
          <w:sz w:val="32"/>
          <w:szCs w:val="32"/>
        </w:rPr>
        <w:t>Patient Advice and Liaison Service (PAL’S)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740D7" w14:paraId="544E6D7A" w14:textId="77777777" w:rsidTr="00317C36">
        <w:tc>
          <w:tcPr>
            <w:tcW w:w="2802" w:type="dxa"/>
            <w:shd w:val="clear" w:color="auto" w:fill="auto"/>
          </w:tcPr>
          <w:p w14:paraId="544E6D78" w14:textId="77777777" w:rsidR="00A740D7" w:rsidRPr="007C439E" w:rsidRDefault="00A740D7" w:rsidP="000469C3">
            <w:pPr>
              <w:pStyle w:val="NoSpacing"/>
              <w:rPr>
                <w:b/>
              </w:rPr>
            </w:pPr>
            <w:r w:rsidRPr="007C439E">
              <w:rPr>
                <w:b/>
              </w:rPr>
              <w:t>Data Controller(s)</w:t>
            </w:r>
          </w:p>
        </w:tc>
        <w:tc>
          <w:tcPr>
            <w:tcW w:w="6804" w:type="dxa"/>
            <w:shd w:val="clear" w:color="auto" w:fill="auto"/>
          </w:tcPr>
          <w:p w14:paraId="544E6D79" w14:textId="77777777" w:rsidR="00A740D7" w:rsidRDefault="00A740D7" w:rsidP="000469C3">
            <w:pPr>
              <w:pStyle w:val="NoSpacing"/>
            </w:pPr>
            <w:r>
              <w:t>NHS North East Lincolnshire CCG</w:t>
            </w:r>
          </w:p>
        </w:tc>
      </w:tr>
      <w:tr w:rsidR="00A740D7" w14:paraId="544E6D7E" w14:textId="77777777" w:rsidTr="00317C36">
        <w:tc>
          <w:tcPr>
            <w:tcW w:w="2802" w:type="dxa"/>
            <w:shd w:val="clear" w:color="auto" w:fill="auto"/>
          </w:tcPr>
          <w:p w14:paraId="544E6D7B" w14:textId="77777777" w:rsidR="00A740D7" w:rsidRPr="007C439E" w:rsidRDefault="00A740D7" w:rsidP="000469C3">
            <w:pPr>
              <w:pStyle w:val="NoSpacing"/>
              <w:rPr>
                <w:b/>
              </w:rPr>
            </w:pPr>
            <w:r w:rsidRPr="007C439E">
              <w:rPr>
                <w:b/>
              </w:rPr>
              <w:t>Purpose</w:t>
            </w:r>
          </w:p>
        </w:tc>
        <w:tc>
          <w:tcPr>
            <w:tcW w:w="6804" w:type="dxa"/>
            <w:shd w:val="clear" w:color="auto" w:fill="auto"/>
          </w:tcPr>
          <w:p w14:paraId="544E6D7C" w14:textId="77777777" w:rsidR="00A740D7" w:rsidRPr="00CA34A9" w:rsidRDefault="00A740D7" w:rsidP="000469C3">
            <w:pPr>
              <w:pStyle w:val="NoSpacing"/>
            </w:pPr>
            <w:r>
              <w:t xml:space="preserve">Under the NHS Complaints Procedure, individuals have a right to complain to both providers and commissioners about services provided by the NHS.   </w:t>
            </w:r>
            <w:r w:rsidRPr="00CA34A9">
              <w:t>However, when a complaint is logged it can be logged with either the Provider or Commissioner but not both.</w:t>
            </w:r>
          </w:p>
          <w:p w14:paraId="544E6D7D" w14:textId="77777777" w:rsidR="00A740D7" w:rsidRDefault="00A740D7" w:rsidP="000469C3">
            <w:pPr>
              <w:pStyle w:val="NoSpacing"/>
            </w:pPr>
            <w:r>
              <w:t>A complaint may relate to a service which the CCG is directly responsible for providing, or it may relate to a service which we have commissioned for the patients who we are responsible for, for example hospital services. The CCG requires this information in order to investigate and help to resolve complaints.</w:t>
            </w:r>
          </w:p>
        </w:tc>
      </w:tr>
      <w:tr w:rsidR="00A740D7" w14:paraId="544E6D81" w14:textId="77777777" w:rsidTr="00317C36">
        <w:tc>
          <w:tcPr>
            <w:tcW w:w="2802" w:type="dxa"/>
            <w:shd w:val="clear" w:color="auto" w:fill="auto"/>
          </w:tcPr>
          <w:p w14:paraId="544E6D7F" w14:textId="77777777" w:rsidR="00A740D7" w:rsidRPr="007C439E" w:rsidRDefault="00A740D7" w:rsidP="000469C3">
            <w:pPr>
              <w:pStyle w:val="NoSpacing"/>
              <w:rPr>
                <w:b/>
              </w:rPr>
            </w:pPr>
            <w:r w:rsidRPr="007C439E">
              <w:rPr>
                <w:b/>
              </w:rPr>
              <w:t>Type of information Used</w:t>
            </w:r>
          </w:p>
        </w:tc>
        <w:tc>
          <w:tcPr>
            <w:tcW w:w="6804" w:type="dxa"/>
            <w:shd w:val="clear" w:color="auto" w:fill="auto"/>
          </w:tcPr>
          <w:p w14:paraId="544E6D80" w14:textId="77777777" w:rsidR="00A740D7" w:rsidRPr="00CA34A9" w:rsidRDefault="00A740D7" w:rsidP="000469C3">
            <w:pPr>
              <w:pStyle w:val="NoSpacing"/>
            </w:pPr>
            <w:r w:rsidRPr="00CA34A9">
              <w:t>Identifiable:  Personal (such as name, address, date of birth, telephone numbers, e mail address) and Special Category (health information)</w:t>
            </w:r>
          </w:p>
        </w:tc>
      </w:tr>
      <w:tr w:rsidR="00A740D7" w14:paraId="544E6D85" w14:textId="77777777" w:rsidTr="00317C36">
        <w:tc>
          <w:tcPr>
            <w:tcW w:w="2802" w:type="dxa"/>
            <w:shd w:val="clear" w:color="auto" w:fill="auto"/>
          </w:tcPr>
          <w:p w14:paraId="544E6D82" w14:textId="77777777" w:rsidR="00A740D7" w:rsidRPr="007C439E" w:rsidRDefault="00A740D7" w:rsidP="000469C3">
            <w:pPr>
              <w:pStyle w:val="NoSpacing"/>
              <w:rPr>
                <w:b/>
              </w:rPr>
            </w:pPr>
            <w:r w:rsidRPr="007C439E">
              <w:rPr>
                <w:b/>
              </w:rPr>
              <w:t>Legal basis</w:t>
            </w:r>
          </w:p>
        </w:tc>
        <w:tc>
          <w:tcPr>
            <w:tcW w:w="6804" w:type="dxa"/>
            <w:shd w:val="clear" w:color="auto" w:fill="auto"/>
          </w:tcPr>
          <w:p w14:paraId="544E6D83" w14:textId="77777777" w:rsidR="00A740D7" w:rsidRDefault="00A740D7" w:rsidP="000469C3">
            <w:pPr>
              <w:pStyle w:val="NoSpacing"/>
            </w:pPr>
            <w:r>
              <w:t>GDPR Article 6(1)(e) – processing is necessary for the performance of a task carried out in the exercise of official authority vested in the controller</w:t>
            </w:r>
          </w:p>
          <w:p w14:paraId="544E6D84" w14:textId="77777777" w:rsidR="00A740D7" w:rsidRDefault="00A740D7" w:rsidP="000469C3">
            <w:pPr>
              <w:pStyle w:val="NoSpacing"/>
            </w:pPr>
            <w:r>
              <w:t xml:space="preserve">GDPR Article 9(2)(h) processing is necessary for the purposes of the provision of health or social care or treatment or the management of health or social care systems and services. </w:t>
            </w:r>
          </w:p>
        </w:tc>
      </w:tr>
      <w:tr w:rsidR="00A740D7" w14:paraId="544E6D8A" w14:textId="77777777" w:rsidTr="00317C36">
        <w:tc>
          <w:tcPr>
            <w:tcW w:w="2802" w:type="dxa"/>
            <w:shd w:val="clear" w:color="auto" w:fill="auto"/>
          </w:tcPr>
          <w:p w14:paraId="544E6D86" w14:textId="77777777" w:rsidR="00A740D7" w:rsidRPr="007C439E" w:rsidRDefault="00A740D7" w:rsidP="000469C3">
            <w:pPr>
              <w:pStyle w:val="NoSpacing"/>
              <w:rPr>
                <w:b/>
              </w:rPr>
            </w:pPr>
            <w:r w:rsidRPr="007C439E">
              <w:rPr>
                <w:b/>
              </w:rPr>
              <w:t>How we collect (the source) and use the information</w:t>
            </w:r>
          </w:p>
        </w:tc>
        <w:tc>
          <w:tcPr>
            <w:tcW w:w="6804" w:type="dxa"/>
            <w:shd w:val="clear" w:color="auto" w:fill="auto"/>
          </w:tcPr>
          <w:p w14:paraId="544E6D87" w14:textId="77777777" w:rsidR="00A740D7" w:rsidRDefault="00A740D7" w:rsidP="000469C3">
            <w:pPr>
              <w:pStyle w:val="NoSpacing"/>
            </w:pPr>
            <w:r>
              <w:t>When the CCG receives a complaint from a person, a complaint file is made up which will normally contain the identity of the complainant, the identity of the patient (where this is a different person) and any other individuals involved, plus details of the complaint, including health information.</w:t>
            </w:r>
          </w:p>
          <w:p w14:paraId="544E6D88" w14:textId="77777777" w:rsidR="00A740D7" w:rsidRDefault="00A740D7" w:rsidP="000469C3">
            <w:pPr>
              <w:pStyle w:val="NoSpacing"/>
            </w:pPr>
            <w:r>
              <w:t>The CCG will only use the identifiable information we collect to process the complaint and to check the level of service we provide.</w:t>
            </w:r>
          </w:p>
          <w:p w14:paraId="544E6D89" w14:textId="77777777" w:rsidR="00A740D7" w:rsidRDefault="00A740D7" w:rsidP="000469C3">
            <w:pPr>
              <w:pStyle w:val="NoSpacing"/>
            </w:pPr>
            <w:r>
              <w:t>Where the complainant is not the patient, the CCG will usually need to disclose the complainant’s identity to whoever the complaint is about in order to obtain consent under the Common Law Duty of Confidentiality to proceed with the complaint and for the complainant to correspond with us on behalf of the patient.</w:t>
            </w:r>
          </w:p>
        </w:tc>
      </w:tr>
      <w:tr w:rsidR="00A740D7" w14:paraId="544E6D8D" w14:textId="77777777" w:rsidTr="00317C36">
        <w:tc>
          <w:tcPr>
            <w:tcW w:w="2802" w:type="dxa"/>
            <w:shd w:val="clear" w:color="auto" w:fill="auto"/>
          </w:tcPr>
          <w:p w14:paraId="544E6D8B" w14:textId="77777777" w:rsidR="00A740D7" w:rsidRPr="007C439E" w:rsidRDefault="00A740D7" w:rsidP="000469C3">
            <w:pPr>
              <w:pStyle w:val="NoSpacing"/>
              <w:rPr>
                <w:b/>
              </w:rPr>
            </w:pPr>
            <w:r w:rsidRPr="007C439E">
              <w:rPr>
                <w:b/>
              </w:rPr>
              <w:t>Data Processors</w:t>
            </w:r>
          </w:p>
        </w:tc>
        <w:tc>
          <w:tcPr>
            <w:tcW w:w="6804" w:type="dxa"/>
            <w:shd w:val="clear" w:color="auto" w:fill="auto"/>
          </w:tcPr>
          <w:p w14:paraId="544E6D8C" w14:textId="77777777" w:rsidR="00A740D7" w:rsidRDefault="00A740D7" w:rsidP="000469C3">
            <w:pPr>
              <w:pStyle w:val="NoSpacing"/>
            </w:pPr>
            <w:r>
              <w:t>N/A</w:t>
            </w:r>
          </w:p>
        </w:tc>
      </w:tr>
      <w:tr w:rsidR="00A740D7" w14:paraId="544E6D97" w14:textId="77777777" w:rsidTr="00317C36">
        <w:tc>
          <w:tcPr>
            <w:tcW w:w="2802" w:type="dxa"/>
            <w:shd w:val="clear" w:color="auto" w:fill="auto"/>
          </w:tcPr>
          <w:p w14:paraId="544E6D8E" w14:textId="77777777" w:rsidR="00A740D7" w:rsidRPr="007C439E" w:rsidRDefault="00A740D7" w:rsidP="000469C3">
            <w:pPr>
              <w:pStyle w:val="NoSpacing"/>
              <w:rPr>
                <w:b/>
              </w:rPr>
            </w:pPr>
            <w:r w:rsidRPr="007C439E">
              <w:rPr>
                <w:b/>
              </w:rPr>
              <w:t>Your Rights</w:t>
            </w:r>
          </w:p>
        </w:tc>
        <w:tc>
          <w:tcPr>
            <w:tcW w:w="6804" w:type="dxa"/>
            <w:shd w:val="clear" w:color="auto" w:fill="auto"/>
          </w:tcPr>
          <w:p w14:paraId="544E6D8F" w14:textId="77777777" w:rsidR="00A740D7" w:rsidRDefault="00A740D7" w:rsidP="000469C3">
            <w:pPr>
              <w:pStyle w:val="NoSpacing"/>
            </w:pPr>
            <w:r>
              <w:t>With regards to Complaints under GDPR you have the right:</w:t>
            </w:r>
          </w:p>
          <w:p w14:paraId="544E6D90" w14:textId="77777777" w:rsidR="00A740D7" w:rsidRDefault="00A740D7" w:rsidP="00A740D7">
            <w:pPr>
              <w:pStyle w:val="NoSpacing"/>
              <w:numPr>
                <w:ilvl w:val="0"/>
                <w:numId w:val="1"/>
              </w:numPr>
            </w:pPr>
            <w:r>
              <w:t>To be informed about the processing of your information (this notice)</w:t>
            </w:r>
          </w:p>
          <w:p w14:paraId="544E6D91" w14:textId="77777777" w:rsidR="00A740D7" w:rsidRDefault="00A740D7" w:rsidP="00A740D7">
            <w:pPr>
              <w:pStyle w:val="NoSpacing"/>
              <w:numPr>
                <w:ilvl w:val="0"/>
                <w:numId w:val="1"/>
              </w:numPr>
            </w:pPr>
            <w:r>
              <w:t>Of access to the information held about you</w:t>
            </w:r>
          </w:p>
          <w:p w14:paraId="544E6D92" w14:textId="77777777" w:rsidR="00A740D7" w:rsidRDefault="00A740D7" w:rsidP="00A740D7">
            <w:pPr>
              <w:pStyle w:val="NoSpacing"/>
              <w:numPr>
                <w:ilvl w:val="0"/>
                <w:numId w:val="1"/>
              </w:numPr>
            </w:pPr>
            <w:r>
              <w:t>To have the information corrected in the event that it is inaccurate</w:t>
            </w:r>
          </w:p>
          <w:p w14:paraId="544E6D93" w14:textId="77777777" w:rsidR="00A740D7" w:rsidRDefault="00A740D7" w:rsidP="00A740D7">
            <w:pPr>
              <w:pStyle w:val="NoSpacing"/>
              <w:numPr>
                <w:ilvl w:val="0"/>
                <w:numId w:val="1"/>
              </w:numPr>
            </w:pPr>
            <w:r>
              <w:t>To restrict or stop processing</w:t>
            </w:r>
          </w:p>
          <w:p w14:paraId="544E6D94" w14:textId="77777777" w:rsidR="00A740D7" w:rsidRDefault="00A740D7" w:rsidP="00A740D7">
            <w:pPr>
              <w:pStyle w:val="NoSpacing"/>
              <w:numPr>
                <w:ilvl w:val="0"/>
                <w:numId w:val="1"/>
              </w:numPr>
            </w:pPr>
            <w:r w:rsidRPr="00864AB9">
              <w:t>Object to it being processed or used</w:t>
            </w:r>
          </w:p>
          <w:p w14:paraId="544E6D95" w14:textId="77777777" w:rsidR="00A740D7" w:rsidRDefault="00A740D7" w:rsidP="00A740D7">
            <w:pPr>
              <w:pStyle w:val="NoSpacing"/>
              <w:numPr>
                <w:ilvl w:val="0"/>
                <w:numId w:val="1"/>
              </w:numPr>
            </w:pPr>
            <w:r>
              <w:t>Not to be subject automated decision-taking or profiling</w:t>
            </w:r>
          </w:p>
          <w:p w14:paraId="544E6D96" w14:textId="77777777" w:rsidR="00A740D7" w:rsidRDefault="00A740D7" w:rsidP="00A740D7">
            <w:pPr>
              <w:pStyle w:val="NoSpacing"/>
              <w:numPr>
                <w:ilvl w:val="0"/>
                <w:numId w:val="1"/>
              </w:numPr>
            </w:pPr>
            <w:r>
              <w:t>To be notified of data breaches</w:t>
            </w:r>
          </w:p>
        </w:tc>
      </w:tr>
      <w:tr w:rsidR="00A740D7" w14:paraId="544E6D9B" w14:textId="77777777" w:rsidTr="00317C36">
        <w:tc>
          <w:tcPr>
            <w:tcW w:w="2802" w:type="dxa"/>
            <w:shd w:val="clear" w:color="auto" w:fill="auto"/>
          </w:tcPr>
          <w:p w14:paraId="544E6D98" w14:textId="77777777" w:rsidR="00A740D7" w:rsidRPr="007C439E" w:rsidRDefault="00A740D7" w:rsidP="000469C3">
            <w:pPr>
              <w:pStyle w:val="NoSpacing"/>
              <w:rPr>
                <w:b/>
              </w:rPr>
            </w:pPr>
            <w:r w:rsidRPr="007C439E">
              <w:rPr>
                <w:b/>
              </w:rPr>
              <w:t>How long we will keep the information</w:t>
            </w:r>
          </w:p>
        </w:tc>
        <w:tc>
          <w:tcPr>
            <w:tcW w:w="6804" w:type="dxa"/>
            <w:shd w:val="clear" w:color="auto" w:fill="auto"/>
          </w:tcPr>
          <w:p w14:paraId="544E6D9A" w14:textId="1141C4F9" w:rsidR="00A740D7" w:rsidRDefault="00317C36" w:rsidP="00317C36">
            <w:pPr>
              <w:pStyle w:val="NoSpacing"/>
            </w:pPr>
            <w:r>
              <w:rPr>
                <w:lang w:val="en-US"/>
              </w:rPr>
              <w:t xml:space="preserve">The </w:t>
            </w:r>
            <w:proofErr w:type="spellStart"/>
            <w:r>
              <w:rPr>
                <w:lang w:val="en-US"/>
              </w:rPr>
              <w:t>organisation</w:t>
            </w:r>
            <w:proofErr w:type="spellEnd"/>
            <w:r>
              <w:rPr>
                <w:lang w:val="en-US"/>
              </w:rPr>
              <w:t xml:space="preserve"> has adopted The Records Management Code of Practice for Health and Social Care 2021.  Data will be retained in accordance with this code and the accompanied retention schedule.</w:t>
            </w:r>
          </w:p>
        </w:tc>
      </w:tr>
      <w:tr w:rsidR="00A740D7" w14:paraId="544E6D9E" w14:textId="77777777" w:rsidTr="00317C36">
        <w:tc>
          <w:tcPr>
            <w:tcW w:w="2802" w:type="dxa"/>
            <w:shd w:val="clear" w:color="auto" w:fill="auto"/>
          </w:tcPr>
          <w:p w14:paraId="544E6D9C" w14:textId="77777777" w:rsidR="00A740D7" w:rsidRPr="007C439E" w:rsidRDefault="00A740D7" w:rsidP="000469C3">
            <w:pPr>
              <w:pStyle w:val="NoSpacing"/>
              <w:rPr>
                <w:b/>
              </w:rPr>
            </w:pPr>
            <w:r w:rsidRPr="007C439E">
              <w:rPr>
                <w:b/>
              </w:rPr>
              <w:t>Who we will share the information with (recipients)</w:t>
            </w:r>
          </w:p>
        </w:tc>
        <w:tc>
          <w:tcPr>
            <w:tcW w:w="6804" w:type="dxa"/>
            <w:shd w:val="clear" w:color="auto" w:fill="auto"/>
          </w:tcPr>
          <w:p w14:paraId="544E6D9D" w14:textId="77777777" w:rsidR="00A740D7" w:rsidRDefault="00A740D7" w:rsidP="000469C3">
            <w:pPr>
              <w:pStyle w:val="NoSpacing"/>
            </w:pPr>
            <w:r>
              <w:t xml:space="preserve">Where complaints relate to a service we commission, such as hospital care, </w:t>
            </w:r>
            <w:r w:rsidRPr="0061028C">
              <w:t>or adult social care, the</w:t>
            </w:r>
            <w:r>
              <w:t xml:space="preserve"> complaint will be shared with that organisation. The complainant will be informed where this occurs.</w:t>
            </w:r>
          </w:p>
        </w:tc>
      </w:tr>
    </w:tbl>
    <w:p w14:paraId="544E6DA0" w14:textId="77777777" w:rsidR="0017520C" w:rsidRDefault="0017520C"/>
    <w:sectPr w:rsidR="001752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14C0D" w14:textId="77777777" w:rsidR="00317C36" w:rsidRDefault="00317C36" w:rsidP="00317C36">
      <w:pPr>
        <w:spacing w:after="0" w:line="240" w:lineRule="auto"/>
      </w:pPr>
      <w:r>
        <w:separator/>
      </w:r>
    </w:p>
  </w:endnote>
  <w:endnote w:type="continuationSeparator" w:id="0">
    <w:p w14:paraId="18A2B860" w14:textId="77777777" w:rsidR="00317C36" w:rsidRDefault="00317C36" w:rsidP="0031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5F1E" w14:textId="595FF054" w:rsidR="00317C36" w:rsidRDefault="00317C36">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3C50C" w14:textId="77777777" w:rsidR="00317C36" w:rsidRDefault="00317C36" w:rsidP="00317C36">
      <w:pPr>
        <w:spacing w:after="0" w:line="240" w:lineRule="auto"/>
      </w:pPr>
      <w:r>
        <w:separator/>
      </w:r>
    </w:p>
  </w:footnote>
  <w:footnote w:type="continuationSeparator" w:id="0">
    <w:p w14:paraId="3BF4A38F" w14:textId="77777777" w:rsidR="00317C36" w:rsidRDefault="00317C36" w:rsidP="00317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16519"/>
    <w:multiLevelType w:val="hybridMultilevel"/>
    <w:tmpl w:val="85D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9E"/>
    <w:rsid w:val="0017520C"/>
    <w:rsid w:val="00317C36"/>
    <w:rsid w:val="00A740D7"/>
    <w:rsid w:val="00C3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6D77"/>
  <w15:docId w15:val="{CC509C0D-AB94-4FB1-BDC8-41FDD2A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0D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17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C36"/>
    <w:rPr>
      <w:rFonts w:ascii="Calibri" w:eastAsia="Calibri" w:hAnsi="Calibri" w:cs="Times New Roman"/>
    </w:rPr>
  </w:style>
  <w:style w:type="paragraph" w:styleId="Footer">
    <w:name w:val="footer"/>
    <w:basedOn w:val="Normal"/>
    <w:link w:val="FooterChar"/>
    <w:uiPriority w:val="99"/>
    <w:unhideWhenUsed/>
    <w:rsid w:val="00317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C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2021-09-09T17:26:00Z</dcterms:created>
  <dcterms:modified xsi:type="dcterms:W3CDTF">2021-09-09T17:26:00Z</dcterms:modified>
</cp:coreProperties>
</file>