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9792D" w14:textId="77777777" w:rsidR="00265CDC" w:rsidRPr="00265CDC" w:rsidRDefault="00265CDC" w:rsidP="00265CDC">
      <w:pPr>
        <w:keepNext/>
        <w:spacing w:before="240" w:after="60"/>
        <w:outlineLvl w:val="0"/>
        <w:rPr>
          <w:rFonts w:ascii="Cambria" w:eastAsia="Times New Roman" w:hAnsi="Cambria" w:cs="Times New Roman"/>
          <w:b/>
          <w:bCs/>
          <w:kern w:val="32"/>
          <w:sz w:val="32"/>
          <w:szCs w:val="32"/>
        </w:rPr>
      </w:pPr>
      <w:bookmarkStart w:id="0" w:name="_Ref515632374"/>
      <w:r w:rsidRPr="00265CDC">
        <w:rPr>
          <w:rFonts w:ascii="Cambria" w:eastAsia="Times New Roman" w:hAnsi="Cambria" w:cs="Times New Roman"/>
          <w:b/>
          <w:bCs/>
          <w:kern w:val="32"/>
          <w:sz w:val="32"/>
          <w:szCs w:val="32"/>
        </w:rPr>
        <w:t>Commissioning</w:t>
      </w:r>
      <w:bookmarkEnd w:id="0"/>
    </w:p>
    <w:tbl>
      <w:tblPr>
        <w:tblStyle w:val="TableGridLight"/>
        <w:tblW w:w="0" w:type="auto"/>
        <w:tblLook w:val="04A0" w:firstRow="1" w:lastRow="0" w:firstColumn="1" w:lastColumn="0" w:noHBand="0" w:noVBand="1"/>
      </w:tblPr>
      <w:tblGrid>
        <w:gridCol w:w="2741"/>
        <w:gridCol w:w="6275"/>
      </w:tblGrid>
      <w:tr w:rsidR="00265CDC" w:rsidRPr="00265CDC" w14:paraId="5DEFA45F" w14:textId="77777777" w:rsidTr="007E11C2">
        <w:tc>
          <w:tcPr>
            <w:tcW w:w="2802" w:type="dxa"/>
          </w:tcPr>
          <w:p w14:paraId="3BEA89E4"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Data Controller(s)</w:t>
            </w:r>
          </w:p>
        </w:tc>
        <w:tc>
          <w:tcPr>
            <w:tcW w:w="6440" w:type="dxa"/>
          </w:tcPr>
          <w:p w14:paraId="2FB8C1CD"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NHS North East Lincolnshire CCG</w:t>
            </w:r>
          </w:p>
        </w:tc>
      </w:tr>
      <w:tr w:rsidR="00265CDC" w:rsidRPr="00265CDC" w14:paraId="4A3C6A8F" w14:textId="77777777" w:rsidTr="007E11C2">
        <w:tc>
          <w:tcPr>
            <w:tcW w:w="2802" w:type="dxa"/>
          </w:tcPr>
          <w:p w14:paraId="4D81B49E"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Purpose</w:t>
            </w:r>
          </w:p>
        </w:tc>
        <w:tc>
          <w:tcPr>
            <w:tcW w:w="6440" w:type="dxa"/>
          </w:tcPr>
          <w:p w14:paraId="03FADEA7"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Hospitals and community setting organisations that provide NHS-funded care must by law submit certain information to NHS Digital about services provided to you and the population we serve. This information is known as commissioning datasets. The CCG obtains these datasets from NHS Digital which relate to patient registered with our GP Practices. This enables us to plan, design, purchase and pay for the best possible care available for you.</w:t>
            </w:r>
          </w:p>
        </w:tc>
      </w:tr>
      <w:tr w:rsidR="00265CDC" w:rsidRPr="00265CDC" w14:paraId="7B887740" w14:textId="77777777" w:rsidTr="007E11C2">
        <w:tc>
          <w:tcPr>
            <w:tcW w:w="2802" w:type="dxa"/>
          </w:tcPr>
          <w:p w14:paraId="0AD0CB24"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Type of Information Used</w:t>
            </w:r>
          </w:p>
        </w:tc>
        <w:tc>
          <w:tcPr>
            <w:tcW w:w="6440" w:type="dxa"/>
          </w:tcPr>
          <w:p w14:paraId="070DD9BB"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Different types of commissioning data are legally allowed to be used by different organisations within, or contracted to, the NHS.</w:t>
            </w:r>
          </w:p>
          <w:p w14:paraId="39669082"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Identifiable – when disclosed from Primary and Secondary care services to NHS Digital</w:t>
            </w:r>
          </w:p>
          <w:p w14:paraId="2EC2A032"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Pseudonymised – the CCG may only receive this information in a pseudonymised format which does not identify individuals.</w:t>
            </w:r>
          </w:p>
        </w:tc>
      </w:tr>
      <w:tr w:rsidR="00265CDC" w:rsidRPr="00265CDC" w14:paraId="540D9355" w14:textId="77777777" w:rsidTr="007E11C2">
        <w:tc>
          <w:tcPr>
            <w:tcW w:w="2802" w:type="dxa"/>
          </w:tcPr>
          <w:p w14:paraId="3D53D154"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Legal Basis</w:t>
            </w:r>
          </w:p>
        </w:tc>
        <w:tc>
          <w:tcPr>
            <w:tcW w:w="6440" w:type="dxa"/>
          </w:tcPr>
          <w:p w14:paraId="53925FC0"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Statutory requirement for NHS Digital to collect identifiable information.</w:t>
            </w:r>
          </w:p>
          <w:p w14:paraId="31703998"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For use by the CCG:</w:t>
            </w:r>
          </w:p>
          <w:p w14:paraId="395E44D3"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GDPR Article 6(1)(e) – processing is necessary for the performance of a task carried out in the exercise of official authority vested in the controller</w:t>
            </w:r>
          </w:p>
          <w:p w14:paraId="70832CDD"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GDPR Article 9(2)(h) processing is necessary for the purposes of the provision of health or social care or treatment or the management of health or social care systems and services. </w:t>
            </w:r>
          </w:p>
          <w:p w14:paraId="735D0ECC"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A </w:t>
            </w:r>
            <w:hyperlink r:id="rId7" w:history="1">
              <w:r w:rsidRPr="00265CDC">
                <w:rPr>
                  <w:rFonts w:ascii="Calibri" w:eastAsia="Calibri" w:hAnsi="Calibri" w:cs="Times New Roman"/>
                  <w:color w:val="0000FF"/>
                  <w:u w:val="single"/>
                </w:rPr>
                <w:t>section 251</w:t>
              </w:r>
            </w:hyperlink>
            <w:r w:rsidRPr="00265CDC">
              <w:rPr>
                <w:rFonts w:ascii="Calibri" w:eastAsia="Calibri" w:hAnsi="Calibri" w:cs="Times New Roman"/>
              </w:rPr>
              <w:t xml:space="preserve"> approval from the Secretary of State, through the </w:t>
            </w:r>
            <w:hyperlink r:id="rId8" w:history="1">
              <w:r w:rsidRPr="00265CDC">
                <w:rPr>
                  <w:rFonts w:ascii="Calibri" w:eastAsia="Calibri" w:hAnsi="Calibri" w:cs="Times New Roman"/>
                  <w:color w:val="0000FF"/>
                  <w:u w:val="single"/>
                </w:rPr>
                <w:t>Confidentiality Advisory Group</w:t>
              </w:r>
            </w:hyperlink>
            <w:r w:rsidRPr="00265CDC">
              <w:rPr>
                <w:rFonts w:ascii="Calibri" w:eastAsia="Calibri" w:hAnsi="Calibri" w:cs="Times New Roman"/>
              </w:rPr>
              <w:t>, enables the pseudonymised information to be sent to the CCG via NHS Digital for our Commissioning purposes.</w:t>
            </w:r>
          </w:p>
        </w:tc>
      </w:tr>
      <w:tr w:rsidR="00265CDC" w:rsidRPr="00265CDC" w14:paraId="4B255EB2" w14:textId="77777777" w:rsidTr="007E11C2">
        <w:tc>
          <w:tcPr>
            <w:tcW w:w="2802" w:type="dxa"/>
          </w:tcPr>
          <w:p w14:paraId="27D9FB06"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How we collect (the source) and use the information</w:t>
            </w:r>
          </w:p>
        </w:tc>
        <w:tc>
          <w:tcPr>
            <w:tcW w:w="6440" w:type="dxa"/>
          </w:tcPr>
          <w:p w14:paraId="707FD22B"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The datasets we receive from NHS Digital have been linked and are in a format that does not directly identify you. Information such as your age, </w:t>
            </w:r>
            <w:proofErr w:type="gramStart"/>
            <w:r w:rsidRPr="00265CDC">
              <w:rPr>
                <w:rFonts w:ascii="Calibri" w:eastAsia="Calibri" w:hAnsi="Calibri" w:cs="Times New Roman"/>
              </w:rPr>
              <w:t>ethnicity</w:t>
            </w:r>
            <w:proofErr w:type="gramEnd"/>
            <w:r w:rsidRPr="00265CDC">
              <w:rPr>
                <w:rFonts w:ascii="Calibri" w:eastAsia="Calibri" w:hAnsi="Calibri" w:cs="Times New Roman"/>
              </w:rPr>
              <w:t xml:space="preserve"> and gender, as well as coded information about any clinic or Accident and Emergency attendances, hospital admissions and treatment will be included.</w:t>
            </w:r>
          </w:p>
          <w:p w14:paraId="72AEB647"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We also receive information from the GP Practices within our CCG that does not identify you.</w:t>
            </w:r>
          </w:p>
          <w:p w14:paraId="3393A8F8"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We use these datasets for </w:t>
            </w:r>
            <w:proofErr w:type="gramStart"/>
            <w:r w:rsidRPr="00265CDC">
              <w:rPr>
                <w:rFonts w:ascii="Calibri" w:eastAsia="Calibri" w:hAnsi="Calibri" w:cs="Times New Roman"/>
              </w:rPr>
              <w:t>a number of</w:t>
            </w:r>
            <w:proofErr w:type="gramEnd"/>
            <w:r w:rsidRPr="00265CDC">
              <w:rPr>
                <w:rFonts w:ascii="Calibri" w:eastAsia="Calibri" w:hAnsi="Calibri" w:cs="Times New Roman"/>
              </w:rPr>
              <w:t xml:space="preserve"> purposes such as:</w:t>
            </w:r>
          </w:p>
          <w:p w14:paraId="42C61094"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Performance managing contracts</w:t>
            </w:r>
          </w:p>
          <w:p w14:paraId="4376D97A"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Reviewing the care delivered by providers to ensure service users are receiving quality and </w:t>
            </w:r>
            <w:proofErr w:type="gramStart"/>
            <w:r w:rsidRPr="00265CDC">
              <w:rPr>
                <w:rFonts w:ascii="Calibri" w:eastAsia="Calibri" w:hAnsi="Calibri" w:cs="Times New Roman"/>
              </w:rPr>
              <w:t>cost effective</w:t>
            </w:r>
            <w:proofErr w:type="gramEnd"/>
            <w:r w:rsidRPr="00265CDC">
              <w:rPr>
                <w:rFonts w:ascii="Calibri" w:eastAsia="Calibri" w:hAnsi="Calibri" w:cs="Times New Roman"/>
              </w:rPr>
              <w:t xml:space="preserve"> care</w:t>
            </w:r>
          </w:p>
          <w:p w14:paraId="418203BF"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To prepare statistics on NHS performance to understand health needs and support service redesign, </w:t>
            </w:r>
            <w:proofErr w:type="gramStart"/>
            <w:r w:rsidRPr="00265CDC">
              <w:rPr>
                <w:rFonts w:ascii="Calibri" w:eastAsia="Calibri" w:hAnsi="Calibri" w:cs="Times New Roman"/>
              </w:rPr>
              <w:t>modernisation</w:t>
            </w:r>
            <w:proofErr w:type="gramEnd"/>
            <w:r w:rsidRPr="00265CDC">
              <w:rPr>
                <w:rFonts w:ascii="Calibri" w:eastAsia="Calibri" w:hAnsi="Calibri" w:cs="Times New Roman"/>
              </w:rPr>
              <w:t xml:space="preserve"> and improvement</w:t>
            </w:r>
          </w:p>
          <w:p w14:paraId="33D69BD7"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To help us plan future services to ensure they continue to meet our local population needs</w:t>
            </w:r>
          </w:p>
        </w:tc>
      </w:tr>
      <w:tr w:rsidR="00265CDC" w:rsidRPr="00265CDC" w14:paraId="5E29CA51" w14:textId="77777777" w:rsidTr="007E11C2">
        <w:tc>
          <w:tcPr>
            <w:tcW w:w="2802" w:type="dxa"/>
          </w:tcPr>
          <w:p w14:paraId="73AEB976"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Data Processors</w:t>
            </w:r>
          </w:p>
        </w:tc>
        <w:tc>
          <w:tcPr>
            <w:tcW w:w="6440" w:type="dxa"/>
          </w:tcPr>
          <w:p w14:paraId="2C503CBE" w14:textId="59356E16" w:rsidR="00B90B1F" w:rsidRDefault="00AF59F5" w:rsidP="00265CDC">
            <w:pPr>
              <w:rPr>
                <w:rFonts w:ascii="Calibri" w:eastAsia="Calibri" w:hAnsi="Calibri" w:cs="Times New Roman"/>
              </w:rPr>
            </w:pPr>
            <w:hyperlink r:id="rId9" w:history="1">
              <w:r w:rsidR="00B90B1F">
                <w:rPr>
                  <w:rStyle w:val="Hyperlink"/>
                  <w:rFonts w:ascii="Calibri" w:eastAsia="Calibri" w:hAnsi="Calibri" w:cs="Times New Roman"/>
                </w:rPr>
                <w:t xml:space="preserve">North of England Commissioning Support </w:t>
              </w:r>
            </w:hyperlink>
            <w:r w:rsidR="00265CDC" w:rsidRPr="00265CDC">
              <w:rPr>
                <w:rFonts w:ascii="Calibri" w:eastAsia="Calibri" w:hAnsi="Calibri" w:cs="Times New Roman"/>
              </w:rPr>
              <w:t xml:space="preserve"> (NECS) obtains the identifiable information from the </w:t>
            </w:r>
            <w:hyperlink r:id="rId10" w:history="1">
              <w:r w:rsidR="00265CDC" w:rsidRPr="00265CDC">
                <w:rPr>
                  <w:rFonts w:ascii="Calibri" w:eastAsia="Calibri" w:hAnsi="Calibri" w:cs="Times New Roman"/>
                  <w:color w:val="0000FF"/>
                  <w:u w:val="single"/>
                </w:rPr>
                <w:t>Secondary Uses Service (SUS)</w:t>
              </w:r>
            </w:hyperlink>
            <w:r w:rsidR="00265CDC" w:rsidRPr="00265CDC">
              <w:rPr>
                <w:rFonts w:ascii="Calibri" w:eastAsia="Calibri" w:hAnsi="Calibri" w:cs="Times New Roman"/>
              </w:rPr>
              <w:t xml:space="preserve">  at NHS Digital. The DSCRO</w:t>
            </w:r>
            <w:r w:rsidR="00B90B1F">
              <w:rPr>
                <w:rFonts w:ascii="Calibri" w:eastAsia="Calibri" w:hAnsi="Calibri" w:cs="Times New Roman"/>
              </w:rPr>
              <w:t xml:space="preserve"> (</w:t>
            </w:r>
            <w:hyperlink r:id="rId11" w:history="1">
              <w:r w:rsidR="00B90B1F">
                <w:rPr>
                  <w:rStyle w:val="Hyperlink"/>
                  <w:rFonts w:ascii="Calibri" w:eastAsia="Calibri" w:hAnsi="Calibri" w:cs="Times New Roman"/>
                </w:rPr>
                <w:t>data services for commissioners</w:t>
              </w:r>
            </w:hyperlink>
            <w:r w:rsidR="00B90B1F">
              <w:rPr>
                <w:rFonts w:ascii="Calibri" w:eastAsia="Calibri" w:hAnsi="Calibri" w:cs="Times New Roman"/>
              </w:rPr>
              <w:t>)</w:t>
            </w:r>
          </w:p>
          <w:p w14:paraId="110DEC2A" w14:textId="2002F3D0" w:rsidR="00265CDC" w:rsidRPr="00265CDC" w:rsidRDefault="00265CDC" w:rsidP="00265CDC">
            <w:pPr>
              <w:rPr>
                <w:rFonts w:ascii="Calibri" w:eastAsia="Calibri" w:hAnsi="Calibri" w:cs="Times New Roman"/>
              </w:rPr>
            </w:pPr>
            <w:r w:rsidRPr="00265CDC">
              <w:rPr>
                <w:rFonts w:ascii="Calibri" w:eastAsia="Calibri" w:hAnsi="Calibri" w:cs="Times New Roman"/>
              </w:rPr>
              <w:t xml:space="preserve"> also receives identifiable information directly from providers They pseudonymise the information and pass it to the CCG.</w:t>
            </w:r>
          </w:p>
        </w:tc>
      </w:tr>
      <w:tr w:rsidR="00265CDC" w:rsidRPr="00265CDC" w14:paraId="1F1BCFC9" w14:textId="77777777" w:rsidTr="007E11C2">
        <w:tc>
          <w:tcPr>
            <w:tcW w:w="2802" w:type="dxa"/>
          </w:tcPr>
          <w:p w14:paraId="04437513"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lastRenderedPageBreak/>
              <w:t>Your Rights</w:t>
            </w:r>
          </w:p>
        </w:tc>
        <w:tc>
          <w:tcPr>
            <w:tcW w:w="6440" w:type="dxa"/>
          </w:tcPr>
          <w:p w14:paraId="2DD5EB73" w14:textId="04FC615B" w:rsidR="00265CDC" w:rsidRDefault="00265CDC" w:rsidP="007C7DAC">
            <w:pPr>
              <w:rPr>
                <w:rFonts w:ascii="Calibri" w:eastAsia="Calibri" w:hAnsi="Calibri" w:cs="Times New Roman"/>
              </w:rPr>
            </w:pPr>
            <w:r w:rsidRPr="00265CDC">
              <w:rPr>
                <w:rFonts w:ascii="Calibri" w:eastAsia="Calibri" w:hAnsi="Calibri" w:cs="Times New Roman"/>
              </w:rPr>
              <w:t xml:space="preserve">If you do not want the NHS to use information about you, collected by your GP then you can opt out by completing an opt-out form and returning it to your GP practice. </w:t>
            </w:r>
            <w:r w:rsidR="007C7DAC" w:rsidRPr="007C7DAC">
              <w:rPr>
                <w:rFonts w:ascii="Calibri" w:eastAsia="Calibri" w:hAnsi="Calibri" w:cs="Times New Roman"/>
              </w:rPr>
              <w:t xml:space="preserve">Details of the national patient opt out can be found here: </w:t>
            </w:r>
            <w:hyperlink r:id="rId12" w:history="1">
              <w:r w:rsidR="007C7DAC" w:rsidRPr="00320797">
                <w:rPr>
                  <w:rStyle w:val="Hyperlink"/>
                  <w:rFonts w:ascii="Calibri" w:eastAsia="Calibri" w:hAnsi="Calibri" w:cs="Times New Roman"/>
                </w:rPr>
                <w:t>https://www.nhs.uk/your-nhs-data-matters/</w:t>
              </w:r>
            </w:hyperlink>
          </w:p>
          <w:p w14:paraId="02B662F0" w14:textId="77777777" w:rsidR="00265CDC" w:rsidRPr="00265CDC" w:rsidRDefault="00265CDC" w:rsidP="00265CDC">
            <w:pPr>
              <w:rPr>
                <w:rFonts w:ascii="Calibri" w:eastAsia="Calibri" w:hAnsi="Calibri" w:cs="Times New Roman"/>
              </w:rPr>
            </w:pPr>
            <w:r w:rsidRPr="00265CDC">
              <w:rPr>
                <w:rFonts w:ascii="Calibri" w:eastAsia="Calibri" w:hAnsi="Calibri" w:cs="Times New Roman"/>
              </w:rPr>
              <w:t>With regards to Commissioning under GDPR you have the right:</w:t>
            </w:r>
          </w:p>
          <w:p w14:paraId="29FE4198"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To be informed about the processing of your information (this notice)</w:t>
            </w:r>
          </w:p>
          <w:p w14:paraId="1A2724BD"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Of access to the information held about you</w:t>
            </w:r>
          </w:p>
          <w:p w14:paraId="6AB919D5"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 xml:space="preserve">To have the information corrected </w:t>
            </w:r>
            <w:proofErr w:type="gramStart"/>
            <w:r w:rsidRPr="00265CDC">
              <w:rPr>
                <w:rFonts w:ascii="Calibri" w:eastAsia="Calibri" w:hAnsi="Calibri" w:cs="Times New Roman"/>
              </w:rPr>
              <w:t>in the event that</w:t>
            </w:r>
            <w:proofErr w:type="gramEnd"/>
            <w:r w:rsidRPr="00265CDC">
              <w:rPr>
                <w:rFonts w:ascii="Calibri" w:eastAsia="Calibri" w:hAnsi="Calibri" w:cs="Times New Roman"/>
              </w:rPr>
              <w:t xml:space="preserve"> it is inaccurate</w:t>
            </w:r>
          </w:p>
          <w:p w14:paraId="5A2102E7"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To restrict or stop processing</w:t>
            </w:r>
          </w:p>
          <w:p w14:paraId="3F7941CB"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To object to it being processed or used</w:t>
            </w:r>
          </w:p>
          <w:p w14:paraId="29DDD579"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Not to be subject automated decision-taking or profiling</w:t>
            </w:r>
          </w:p>
          <w:p w14:paraId="3E535CCC" w14:textId="77777777" w:rsidR="00265CDC" w:rsidRPr="00265CDC" w:rsidRDefault="00265CDC" w:rsidP="00265CDC">
            <w:pPr>
              <w:numPr>
                <w:ilvl w:val="0"/>
                <w:numId w:val="1"/>
              </w:numPr>
              <w:rPr>
                <w:rFonts w:ascii="Calibri" w:eastAsia="Calibri" w:hAnsi="Calibri" w:cs="Times New Roman"/>
              </w:rPr>
            </w:pPr>
            <w:r w:rsidRPr="00265CDC">
              <w:rPr>
                <w:rFonts w:ascii="Calibri" w:eastAsia="Calibri" w:hAnsi="Calibri" w:cs="Times New Roman"/>
              </w:rPr>
              <w:t>To be notified of data breaches</w:t>
            </w:r>
          </w:p>
        </w:tc>
      </w:tr>
      <w:tr w:rsidR="00265CDC" w:rsidRPr="00265CDC" w14:paraId="2C39253F" w14:textId="77777777" w:rsidTr="007E11C2">
        <w:tc>
          <w:tcPr>
            <w:tcW w:w="2802" w:type="dxa"/>
          </w:tcPr>
          <w:p w14:paraId="08FF050D"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How long we will keep the information</w:t>
            </w:r>
          </w:p>
        </w:tc>
        <w:tc>
          <w:tcPr>
            <w:tcW w:w="6440" w:type="dxa"/>
          </w:tcPr>
          <w:p w14:paraId="3A716B96" w14:textId="52D32FCD" w:rsidR="00265CDC" w:rsidRPr="00265CDC" w:rsidRDefault="00265CDC" w:rsidP="00AF59F5">
            <w:pPr>
              <w:rPr>
                <w:rFonts w:ascii="Calibri" w:eastAsia="Calibri" w:hAnsi="Calibri" w:cs="Times New Roman"/>
              </w:rPr>
            </w:pPr>
            <w:r w:rsidRPr="00265CDC">
              <w:rPr>
                <w:rFonts w:ascii="Calibri" w:eastAsia="Calibri" w:hAnsi="Calibri" w:cs="Times New Roman"/>
                <w:lang w:val="en-US"/>
              </w:rPr>
              <w:t>The o</w:t>
            </w:r>
            <w:proofErr w:type="spellStart"/>
            <w:r w:rsidRPr="00265CDC">
              <w:rPr>
                <w:rFonts w:ascii="Calibri" w:eastAsia="Calibri" w:hAnsi="Calibri" w:cs="Times New Roman"/>
                <w:lang w:val="en-US"/>
              </w:rPr>
              <w:t>rganisation</w:t>
            </w:r>
            <w:proofErr w:type="spellEnd"/>
            <w:r w:rsidRPr="00265CDC">
              <w:rPr>
                <w:rFonts w:ascii="Calibri" w:eastAsia="Calibri" w:hAnsi="Calibri" w:cs="Times New Roman"/>
                <w:lang w:val="en-US"/>
              </w:rPr>
              <w:t xml:space="preserve"> has adopted </w:t>
            </w:r>
            <w:r w:rsidR="001031D8" w:rsidRPr="001031D8">
              <w:rPr>
                <w:rFonts w:ascii="Calibri" w:eastAsia="Calibri" w:hAnsi="Calibri" w:cs="Times New Roman"/>
                <w:lang w:val="en-US"/>
              </w:rPr>
              <w:t>The Records Management Code of Practice for Health and Social Care 2021</w:t>
            </w:r>
            <w:r w:rsidR="00AF59F5">
              <w:rPr>
                <w:rFonts w:ascii="Calibri" w:eastAsia="Calibri" w:hAnsi="Calibri" w:cs="Times New Roman"/>
                <w:lang w:val="en-US"/>
              </w:rPr>
              <w:t>.  D</w:t>
            </w:r>
            <w:r w:rsidR="00AF59F5" w:rsidRPr="00AF59F5">
              <w:rPr>
                <w:rFonts w:ascii="Calibri" w:eastAsia="Calibri" w:hAnsi="Calibri" w:cs="Times New Roman"/>
                <w:lang w:val="en-US"/>
              </w:rPr>
              <w:t xml:space="preserve">ata will be retained in accordance with </w:t>
            </w:r>
            <w:r w:rsidR="00AF59F5">
              <w:rPr>
                <w:rFonts w:ascii="Calibri" w:eastAsia="Calibri" w:hAnsi="Calibri" w:cs="Times New Roman"/>
                <w:lang w:val="en-US"/>
              </w:rPr>
              <w:t xml:space="preserve">this code and </w:t>
            </w:r>
            <w:r w:rsidR="001031D8">
              <w:rPr>
                <w:rFonts w:ascii="Calibri" w:eastAsia="Calibri" w:hAnsi="Calibri" w:cs="Times New Roman"/>
                <w:lang w:val="en-US"/>
              </w:rPr>
              <w:t xml:space="preserve">the accompanied retention schedule. </w:t>
            </w:r>
          </w:p>
        </w:tc>
      </w:tr>
      <w:tr w:rsidR="00265CDC" w:rsidRPr="00265CDC" w14:paraId="4269BE24" w14:textId="77777777" w:rsidTr="00CA552A">
        <w:tc>
          <w:tcPr>
            <w:tcW w:w="2802" w:type="dxa"/>
          </w:tcPr>
          <w:p w14:paraId="2756ADDE" w14:textId="77777777" w:rsidR="00265CDC" w:rsidRPr="00265CDC" w:rsidRDefault="00265CDC" w:rsidP="00265CDC">
            <w:pPr>
              <w:rPr>
                <w:rFonts w:ascii="Calibri" w:eastAsia="Calibri" w:hAnsi="Calibri" w:cs="Times New Roman"/>
                <w:b/>
              </w:rPr>
            </w:pPr>
            <w:r w:rsidRPr="00265CDC">
              <w:rPr>
                <w:rFonts w:ascii="Calibri" w:eastAsia="Calibri" w:hAnsi="Calibri" w:cs="Times New Roman"/>
                <w:b/>
              </w:rPr>
              <w:t>Who we will share the information with (recipients)</w:t>
            </w:r>
          </w:p>
        </w:tc>
        <w:tc>
          <w:tcPr>
            <w:tcW w:w="6440" w:type="dxa"/>
            <w:shd w:val="clear" w:color="auto" w:fill="auto"/>
          </w:tcPr>
          <w:p w14:paraId="4358D82B" w14:textId="27CDDFEF" w:rsidR="00265CDC" w:rsidRPr="00265CDC" w:rsidRDefault="001B5607" w:rsidP="00265CDC">
            <w:pPr>
              <w:rPr>
                <w:rFonts w:ascii="Calibri" w:eastAsia="Calibri" w:hAnsi="Calibri" w:cs="Times New Roman"/>
              </w:rPr>
            </w:pPr>
            <w:r w:rsidRPr="00CA552A">
              <w:rPr>
                <w:rFonts w:ascii="Calibri" w:eastAsia="Calibri" w:hAnsi="Calibri" w:cs="Times New Roman"/>
              </w:rPr>
              <w:t xml:space="preserve">Only aggregate levels of data are shared outside of the </w:t>
            </w:r>
            <w:r w:rsidR="00CA552A" w:rsidRPr="00CA552A">
              <w:rPr>
                <w:rFonts w:ascii="Calibri" w:eastAsia="Calibri" w:hAnsi="Calibri" w:cs="Times New Roman"/>
              </w:rPr>
              <w:t>CCG,</w:t>
            </w:r>
            <w:r w:rsidRPr="00CA552A">
              <w:rPr>
                <w:rFonts w:ascii="Calibri" w:eastAsia="Calibri" w:hAnsi="Calibri" w:cs="Times New Roman"/>
              </w:rPr>
              <w:t xml:space="preserve"> so t</w:t>
            </w:r>
            <w:r w:rsidR="00265CDC" w:rsidRPr="00CA552A">
              <w:rPr>
                <w:rFonts w:ascii="Calibri" w:eastAsia="Calibri" w:hAnsi="Calibri" w:cs="Times New Roman"/>
              </w:rPr>
              <w:t>his information is not shared outside of the CCG</w:t>
            </w:r>
            <w:r>
              <w:rPr>
                <w:rFonts w:ascii="Calibri" w:eastAsia="Calibri" w:hAnsi="Calibri" w:cs="Times New Roman"/>
              </w:rPr>
              <w:t xml:space="preserve"> </w:t>
            </w:r>
          </w:p>
        </w:tc>
      </w:tr>
    </w:tbl>
    <w:p w14:paraId="6DB040B8" w14:textId="77777777" w:rsidR="00265CDC" w:rsidRPr="00265CDC" w:rsidRDefault="00265CDC" w:rsidP="00265CDC">
      <w:pPr>
        <w:rPr>
          <w:rFonts w:ascii="Calibri" w:eastAsia="Calibri" w:hAnsi="Calibri" w:cs="Times New Roman"/>
          <w:b/>
        </w:rPr>
      </w:pPr>
    </w:p>
    <w:p w14:paraId="1DAFC44A" w14:textId="77777777" w:rsidR="0017520C" w:rsidRDefault="0017520C" w:rsidP="00265CDC"/>
    <w:sectPr w:rsidR="0017520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8570" w14:textId="77777777" w:rsidR="007C7DAC" w:rsidRDefault="007C7DAC" w:rsidP="007C7DAC">
      <w:pPr>
        <w:spacing w:after="0" w:line="240" w:lineRule="auto"/>
      </w:pPr>
      <w:r>
        <w:separator/>
      </w:r>
    </w:p>
  </w:endnote>
  <w:endnote w:type="continuationSeparator" w:id="0">
    <w:p w14:paraId="6D703CA5" w14:textId="77777777" w:rsidR="007C7DAC" w:rsidRDefault="007C7DAC" w:rsidP="007C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67F5" w14:textId="77777777" w:rsidR="00AF59F5" w:rsidRDefault="00AF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DAD4" w14:textId="1958F430" w:rsidR="007C7DAC" w:rsidRDefault="00AF59F5">
    <w:pPr>
      <w:pStyle w:val="Footer"/>
    </w:pPr>
    <w:r>
      <w:t>Sept 2021</w:t>
    </w:r>
    <w:r w:rsidR="007C7DAC">
      <w:t xml:space="preserve"> </w:t>
    </w:r>
    <w:r w:rsidR="007C7DAC">
      <w:t>v</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1295" w14:textId="77777777" w:rsidR="00AF59F5" w:rsidRDefault="00AF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874D" w14:textId="77777777" w:rsidR="007C7DAC" w:rsidRDefault="007C7DAC" w:rsidP="007C7DAC">
      <w:pPr>
        <w:spacing w:after="0" w:line="240" w:lineRule="auto"/>
      </w:pPr>
      <w:r>
        <w:separator/>
      </w:r>
    </w:p>
  </w:footnote>
  <w:footnote w:type="continuationSeparator" w:id="0">
    <w:p w14:paraId="46712CF6" w14:textId="77777777" w:rsidR="007C7DAC" w:rsidRDefault="007C7DAC" w:rsidP="007C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3D34" w14:textId="77777777" w:rsidR="00AF59F5" w:rsidRDefault="00AF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9C4E" w14:textId="77777777" w:rsidR="00AF59F5" w:rsidRDefault="00AF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17A3" w14:textId="77777777" w:rsidR="00AF59F5" w:rsidRDefault="00AF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F1D9F"/>
    <w:multiLevelType w:val="hybridMultilevel"/>
    <w:tmpl w:val="390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83"/>
    <w:rsid w:val="001031D8"/>
    <w:rsid w:val="0017520C"/>
    <w:rsid w:val="001B5607"/>
    <w:rsid w:val="00265CDC"/>
    <w:rsid w:val="003A642D"/>
    <w:rsid w:val="007C7DAC"/>
    <w:rsid w:val="007E11C2"/>
    <w:rsid w:val="00844DC7"/>
    <w:rsid w:val="00AF59F5"/>
    <w:rsid w:val="00B90B1F"/>
    <w:rsid w:val="00B90B9F"/>
    <w:rsid w:val="00CA552A"/>
    <w:rsid w:val="00F3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6094"/>
  <w15:docId w15:val="{60480E5C-5690-4105-AF2E-B7252980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642D"/>
    <w:rPr>
      <w:sz w:val="16"/>
      <w:szCs w:val="16"/>
    </w:rPr>
  </w:style>
  <w:style w:type="paragraph" w:styleId="CommentText">
    <w:name w:val="annotation text"/>
    <w:basedOn w:val="Normal"/>
    <w:link w:val="CommentTextChar"/>
    <w:uiPriority w:val="99"/>
    <w:semiHidden/>
    <w:unhideWhenUsed/>
    <w:rsid w:val="003A642D"/>
    <w:pPr>
      <w:spacing w:line="240" w:lineRule="auto"/>
    </w:pPr>
    <w:rPr>
      <w:sz w:val="20"/>
      <w:szCs w:val="20"/>
    </w:rPr>
  </w:style>
  <w:style w:type="character" w:customStyle="1" w:styleId="CommentTextChar">
    <w:name w:val="Comment Text Char"/>
    <w:basedOn w:val="DefaultParagraphFont"/>
    <w:link w:val="CommentText"/>
    <w:uiPriority w:val="99"/>
    <w:semiHidden/>
    <w:rsid w:val="003A642D"/>
    <w:rPr>
      <w:sz w:val="20"/>
      <w:szCs w:val="20"/>
    </w:rPr>
  </w:style>
  <w:style w:type="paragraph" w:styleId="CommentSubject">
    <w:name w:val="annotation subject"/>
    <w:basedOn w:val="CommentText"/>
    <w:next w:val="CommentText"/>
    <w:link w:val="CommentSubjectChar"/>
    <w:uiPriority w:val="99"/>
    <w:semiHidden/>
    <w:unhideWhenUsed/>
    <w:rsid w:val="003A642D"/>
    <w:rPr>
      <w:b/>
      <w:bCs/>
    </w:rPr>
  </w:style>
  <w:style w:type="character" w:customStyle="1" w:styleId="CommentSubjectChar">
    <w:name w:val="Comment Subject Char"/>
    <w:basedOn w:val="CommentTextChar"/>
    <w:link w:val="CommentSubject"/>
    <w:uiPriority w:val="99"/>
    <w:semiHidden/>
    <w:rsid w:val="003A642D"/>
    <w:rPr>
      <w:b/>
      <w:bCs/>
      <w:sz w:val="20"/>
      <w:szCs w:val="20"/>
    </w:rPr>
  </w:style>
  <w:style w:type="paragraph" w:styleId="BalloonText">
    <w:name w:val="Balloon Text"/>
    <w:basedOn w:val="Normal"/>
    <w:link w:val="BalloonTextChar"/>
    <w:uiPriority w:val="99"/>
    <w:semiHidden/>
    <w:unhideWhenUsed/>
    <w:rsid w:val="003A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42D"/>
    <w:rPr>
      <w:rFonts w:ascii="Tahoma" w:hAnsi="Tahoma" w:cs="Tahoma"/>
      <w:sz w:val="16"/>
      <w:szCs w:val="16"/>
    </w:rPr>
  </w:style>
  <w:style w:type="character" w:styleId="Hyperlink">
    <w:name w:val="Hyperlink"/>
    <w:uiPriority w:val="99"/>
    <w:unhideWhenUsed/>
    <w:rsid w:val="003A642D"/>
    <w:rPr>
      <w:color w:val="0000FF"/>
      <w:u w:val="single"/>
    </w:rPr>
  </w:style>
  <w:style w:type="table" w:styleId="TableGridLight">
    <w:name w:val="Grid Table Light"/>
    <w:basedOn w:val="TableNormal"/>
    <w:uiPriority w:val="40"/>
    <w:rsid w:val="007E1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C7DAC"/>
    <w:rPr>
      <w:color w:val="605E5C"/>
      <w:shd w:val="clear" w:color="auto" w:fill="E1DFDD"/>
    </w:rPr>
  </w:style>
  <w:style w:type="paragraph" w:styleId="Header">
    <w:name w:val="header"/>
    <w:basedOn w:val="Normal"/>
    <w:link w:val="HeaderChar"/>
    <w:uiPriority w:val="99"/>
    <w:unhideWhenUsed/>
    <w:rsid w:val="007C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AC"/>
  </w:style>
  <w:style w:type="paragraph" w:styleId="Footer">
    <w:name w:val="footer"/>
    <w:basedOn w:val="Normal"/>
    <w:link w:val="FooterChar"/>
    <w:uiPriority w:val="99"/>
    <w:unhideWhenUsed/>
    <w:rsid w:val="007C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bout-us/committees-and-services/confidentiality-advisory-grou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ra.nhs.uk/about-us/committees-and-services/confidentiality-advisory-group/legal-frameworks/" TargetMode="External"/><Relationship Id="rId12" Type="http://schemas.openxmlformats.org/officeDocument/2006/relationships/hyperlink" Target="https://www.nhs.uk/your-nhs-data-matt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data-services-for-commissioners-dsf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gital.nhs.uk/s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csu.nhs.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2021-09-09T17:02:00Z</dcterms:created>
  <dcterms:modified xsi:type="dcterms:W3CDTF">2021-09-09T17:02:00Z</dcterms:modified>
</cp:coreProperties>
</file>