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ABA5F" w14:textId="77777777" w:rsidR="006D40A1" w:rsidRPr="0079068C" w:rsidRDefault="006D40A1" w:rsidP="0079068C">
      <w:pPr>
        <w:pStyle w:val="NoSpacing"/>
        <w:jc w:val="center"/>
        <w:rPr>
          <w:rFonts w:ascii="Arial" w:hAnsi="Arial" w:cs="Arial"/>
          <w:b/>
          <w:sz w:val="24"/>
          <w:u w:val="single"/>
        </w:rPr>
      </w:pPr>
      <w:bookmarkStart w:id="0" w:name="_GoBack"/>
      <w:bookmarkEnd w:id="0"/>
      <w:r w:rsidRPr="0079068C">
        <w:rPr>
          <w:rFonts w:ascii="Arial" w:hAnsi="Arial" w:cs="Arial"/>
          <w:b/>
          <w:sz w:val="24"/>
          <w:u w:val="single"/>
        </w:rPr>
        <w:t>General Data Protection Regulation (GDPR)</w:t>
      </w:r>
    </w:p>
    <w:p w14:paraId="305CA20F" w14:textId="77777777" w:rsidR="0079068C" w:rsidRDefault="006D40A1" w:rsidP="0079068C">
      <w:pPr>
        <w:pStyle w:val="NoSpacing"/>
        <w:jc w:val="center"/>
        <w:rPr>
          <w:b/>
          <w:u w:val="single"/>
        </w:rPr>
      </w:pPr>
      <w:r w:rsidRPr="0079068C">
        <w:rPr>
          <w:rFonts w:ascii="Arial" w:hAnsi="Arial" w:cs="Arial"/>
          <w:b/>
          <w:sz w:val="24"/>
          <w:u w:val="single"/>
        </w:rPr>
        <w:t>Frequently Asked Questions (F</w:t>
      </w:r>
      <w:r w:rsidR="00E5595A" w:rsidRPr="0079068C">
        <w:rPr>
          <w:rFonts w:ascii="Arial" w:hAnsi="Arial" w:cs="Arial"/>
          <w:b/>
          <w:sz w:val="24"/>
          <w:u w:val="single"/>
        </w:rPr>
        <w:t>AQs</w:t>
      </w:r>
      <w:r w:rsidRPr="0079068C">
        <w:rPr>
          <w:b/>
          <w:u w:val="single"/>
        </w:rPr>
        <w:t>)</w:t>
      </w:r>
    </w:p>
    <w:p w14:paraId="6CC1E13A" w14:textId="77777777" w:rsidR="00F903C3" w:rsidRPr="00F903C3" w:rsidRDefault="00F903C3" w:rsidP="0079068C">
      <w:pPr>
        <w:pStyle w:val="NoSpacing"/>
        <w:jc w:val="center"/>
        <w:rPr>
          <w:rFonts w:ascii="Arial" w:hAnsi="Arial" w:cs="Arial"/>
          <w:b/>
          <w:sz w:val="24"/>
          <w:u w:val="single"/>
        </w:rPr>
      </w:pPr>
      <w:r w:rsidRPr="00F903C3">
        <w:rPr>
          <w:rFonts w:ascii="Arial" w:hAnsi="Arial" w:cs="Arial"/>
          <w:b/>
          <w:sz w:val="24"/>
          <w:u w:val="single"/>
        </w:rPr>
        <w:t>Edition 1</w:t>
      </w:r>
    </w:p>
    <w:p w14:paraId="64EA6EB8" w14:textId="77777777" w:rsidR="0079068C" w:rsidRPr="006D40A1" w:rsidRDefault="0079068C" w:rsidP="0079068C">
      <w:pPr>
        <w:pStyle w:val="NoSpacing"/>
      </w:pPr>
    </w:p>
    <w:p w14:paraId="10A68467"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 xml:space="preserve">What is the </w:t>
      </w:r>
      <w:r w:rsidR="0091020E" w:rsidRPr="00480E30">
        <w:rPr>
          <w:rFonts w:ascii="Arial" w:hAnsi="Arial" w:cs="Arial"/>
          <w:b/>
          <w:sz w:val="24"/>
        </w:rPr>
        <w:t xml:space="preserve">GDPR </w:t>
      </w:r>
      <w:r w:rsidR="00BC445A" w:rsidRPr="00480E30">
        <w:rPr>
          <w:rFonts w:ascii="Arial" w:hAnsi="Arial" w:cs="Arial"/>
          <w:b/>
          <w:sz w:val="24"/>
        </w:rPr>
        <w:t>and when does it become applicable</w:t>
      </w:r>
      <w:r w:rsidRPr="00480E30">
        <w:rPr>
          <w:rFonts w:ascii="Arial" w:hAnsi="Arial" w:cs="Arial"/>
          <w:b/>
          <w:sz w:val="24"/>
        </w:rPr>
        <w:t>?</w:t>
      </w:r>
    </w:p>
    <w:p w14:paraId="5F322B0C" w14:textId="77777777" w:rsidR="00655150" w:rsidRDefault="00E5595A" w:rsidP="00480E30">
      <w:pPr>
        <w:pStyle w:val="ListParagraph"/>
        <w:rPr>
          <w:rFonts w:ascii="Arial" w:hAnsi="Arial" w:cs="Arial"/>
          <w:sz w:val="24"/>
        </w:rPr>
      </w:pPr>
      <w:r w:rsidRPr="00480E30">
        <w:rPr>
          <w:rFonts w:ascii="Arial" w:hAnsi="Arial" w:cs="Arial"/>
          <w:sz w:val="24"/>
        </w:rPr>
        <w:t xml:space="preserve">The </w:t>
      </w:r>
      <w:r w:rsidR="006D40A1" w:rsidRPr="00480E30">
        <w:rPr>
          <w:rFonts w:ascii="Arial" w:hAnsi="Arial" w:cs="Arial"/>
          <w:sz w:val="24"/>
        </w:rPr>
        <w:t>GDPR</w:t>
      </w:r>
      <w:r w:rsidRPr="00480E30">
        <w:rPr>
          <w:rFonts w:ascii="Arial" w:hAnsi="Arial" w:cs="Arial"/>
          <w:sz w:val="24"/>
        </w:rPr>
        <w:t xml:space="preserve"> is </w:t>
      </w:r>
      <w:r w:rsidR="00655150" w:rsidRPr="00480E30">
        <w:rPr>
          <w:rFonts w:ascii="Arial" w:hAnsi="Arial" w:cs="Arial"/>
          <w:sz w:val="24"/>
        </w:rPr>
        <w:t xml:space="preserve">European Union (EU) </w:t>
      </w:r>
      <w:r w:rsidRPr="00480E30">
        <w:rPr>
          <w:rFonts w:ascii="Arial" w:hAnsi="Arial" w:cs="Arial"/>
          <w:sz w:val="24"/>
        </w:rPr>
        <w:t xml:space="preserve">legislation that will become </w:t>
      </w:r>
      <w:r w:rsidR="00AB3DE9">
        <w:rPr>
          <w:rFonts w:ascii="Arial" w:hAnsi="Arial" w:cs="Arial"/>
          <w:sz w:val="24"/>
        </w:rPr>
        <w:t xml:space="preserve">directly </w:t>
      </w:r>
      <w:r w:rsidR="0098172A" w:rsidRPr="00480E30">
        <w:rPr>
          <w:rFonts w:ascii="Arial" w:hAnsi="Arial" w:cs="Arial"/>
          <w:sz w:val="24"/>
        </w:rPr>
        <w:t xml:space="preserve">applicable in </w:t>
      </w:r>
      <w:hyperlink r:id="rId9" w:history="1">
        <w:r w:rsidR="0098172A" w:rsidRPr="00480E30">
          <w:rPr>
            <w:rStyle w:val="Hyperlink"/>
            <w:rFonts w:ascii="Arial" w:hAnsi="Arial" w:cs="Arial"/>
            <w:sz w:val="24"/>
          </w:rPr>
          <w:t>Member States</w:t>
        </w:r>
      </w:hyperlink>
      <w:r w:rsidR="006D40A1" w:rsidRPr="00480E30">
        <w:rPr>
          <w:rFonts w:ascii="Arial" w:hAnsi="Arial" w:cs="Arial"/>
          <w:sz w:val="24"/>
        </w:rPr>
        <w:t xml:space="preserve"> (</w:t>
      </w:r>
      <w:r w:rsidR="00D76FEE">
        <w:rPr>
          <w:rFonts w:ascii="Arial" w:hAnsi="Arial" w:cs="Arial"/>
          <w:sz w:val="24"/>
        </w:rPr>
        <w:t>e.g.</w:t>
      </w:r>
      <w:r w:rsidR="006D40A1" w:rsidRPr="00480E30">
        <w:rPr>
          <w:rFonts w:ascii="Arial" w:hAnsi="Arial" w:cs="Arial"/>
          <w:sz w:val="24"/>
        </w:rPr>
        <w:t xml:space="preserve"> the UK)</w:t>
      </w:r>
      <w:r w:rsidRPr="00480E30">
        <w:rPr>
          <w:rFonts w:ascii="Arial" w:hAnsi="Arial" w:cs="Arial"/>
          <w:sz w:val="24"/>
        </w:rPr>
        <w:t xml:space="preserve"> </w:t>
      </w:r>
      <w:r w:rsidR="00217C43" w:rsidRPr="00480E30">
        <w:rPr>
          <w:rFonts w:ascii="Arial" w:hAnsi="Arial" w:cs="Arial"/>
          <w:sz w:val="24"/>
        </w:rPr>
        <w:t>on 25 May 2018.</w:t>
      </w:r>
      <w:r w:rsidR="00655150" w:rsidRPr="00480E30">
        <w:rPr>
          <w:rFonts w:ascii="Arial" w:hAnsi="Arial" w:cs="Arial"/>
          <w:sz w:val="24"/>
        </w:rPr>
        <w:t xml:space="preserve"> It is a regulation by which the European Parliament, the Council of the EU and the European Commission intend to strengthen and unify data protection for all individuals within the EU.</w:t>
      </w:r>
      <w:r w:rsidR="00217C43" w:rsidRPr="00480E30">
        <w:rPr>
          <w:rFonts w:ascii="Arial" w:hAnsi="Arial" w:cs="Arial"/>
          <w:sz w:val="24"/>
        </w:rPr>
        <w:t xml:space="preserve"> </w:t>
      </w:r>
    </w:p>
    <w:p w14:paraId="22AA5E14" w14:textId="77777777" w:rsidR="006F607C" w:rsidRPr="00480E30" w:rsidRDefault="006F607C" w:rsidP="00480E30">
      <w:pPr>
        <w:pStyle w:val="ListParagraph"/>
        <w:rPr>
          <w:rFonts w:ascii="Arial" w:hAnsi="Arial" w:cs="Arial"/>
          <w:sz w:val="24"/>
        </w:rPr>
      </w:pPr>
    </w:p>
    <w:p w14:paraId="7CE7DC42" w14:textId="77777777" w:rsidR="00655150" w:rsidRPr="00480E30" w:rsidRDefault="00655150" w:rsidP="00480E30">
      <w:pPr>
        <w:pStyle w:val="ListParagraph"/>
        <w:numPr>
          <w:ilvl w:val="0"/>
          <w:numId w:val="5"/>
        </w:numPr>
        <w:rPr>
          <w:rFonts w:ascii="Arial" w:hAnsi="Arial" w:cs="Arial"/>
          <w:b/>
          <w:sz w:val="24"/>
        </w:rPr>
      </w:pPr>
      <w:r w:rsidRPr="00480E30">
        <w:rPr>
          <w:rFonts w:ascii="Arial" w:hAnsi="Arial" w:cs="Arial"/>
          <w:b/>
          <w:sz w:val="24"/>
        </w:rPr>
        <w:t>What is the difference between the GDPR and the Data Protection (DP) Bill?</w:t>
      </w:r>
    </w:p>
    <w:p w14:paraId="65F9DC9D" w14:textId="77777777" w:rsidR="00363C85" w:rsidRDefault="00655150" w:rsidP="00480E30">
      <w:pPr>
        <w:pStyle w:val="ListParagraph"/>
        <w:rPr>
          <w:rFonts w:ascii="Arial" w:hAnsi="Arial" w:cs="Arial"/>
          <w:sz w:val="24"/>
        </w:rPr>
      </w:pPr>
      <w:r w:rsidRPr="00480E30">
        <w:rPr>
          <w:rFonts w:ascii="Arial" w:hAnsi="Arial" w:cs="Arial"/>
          <w:sz w:val="24"/>
        </w:rPr>
        <w:t>The GDPR is EU legislation that will be ap</w:t>
      </w:r>
      <w:r w:rsidR="00D30329">
        <w:rPr>
          <w:rFonts w:ascii="Arial" w:hAnsi="Arial" w:cs="Arial"/>
          <w:sz w:val="24"/>
        </w:rPr>
        <w:t xml:space="preserve">plicable as law </w:t>
      </w:r>
      <w:r w:rsidR="00D76FEE">
        <w:rPr>
          <w:rFonts w:ascii="Arial" w:hAnsi="Arial" w:cs="Arial"/>
          <w:sz w:val="24"/>
        </w:rPr>
        <w:t xml:space="preserve">in EU member States (e.g. the UK) </w:t>
      </w:r>
      <w:r w:rsidR="00D30329">
        <w:rPr>
          <w:rFonts w:ascii="Arial" w:hAnsi="Arial" w:cs="Arial"/>
          <w:sz w:val="24"/>
        </w:rPr>
        <w:t>from 25 May 2018</w:t>
      </w:r>
      <w:r w:rsidR="00D76FEE">
        <w:rPr>
          <w:rFonts w:ascii="Arial" w:hAnsi="Arial" w:cs="Arial"/>
          <w:sz w:val="24"/>
        </w:rPr>
        <w:t>, irrespective of national legislation</w:t>
      </w:r>
      <w:r w:rsidRPr="00480E30">
        <w:rPr>
          <w:rFonts w:ascii="Arial" w:hAnsi="Arial" w:cs="Arial"/>
          <w:sz w:val="24"/>
        </w:rPr>
        <w:t xml:space="preserve">. </w:t>
      </w:r>
    </w:p>
    <w:p w14:paraId="3D9170FD" w14:textId="77777777" w:rsidR="00363C85" w:rsidRDefault="00363C85" w:rsidP="00480E30">
      <w:pPr>
        <w:pStyle w:val="ListParagraph"/>
        <w:rPr>
          <w:rFonts w:ascii="Arial" w:hAnsi="Arial" w:cs="Arial"/>
          <w:sz w:val="24"/>
        </w:rPr>
      </w:pPr>
    </w:p>
    <w:p w14:paraId="0FA880B7" w14:textId="3B18EA94" w:rsidR="006F607C" w:rsidRDefault="00655150" w:rsidP="00480E30">
      <w:pPr>
        <w:pStyle w:val="ListParagraph"/>
        <w:rPr>
          <w:rFonts w:ascii="Arial" w:hAnsi="Arial" w:cs="Arial"/>
          <w:sz w:val="24"/>
        </w:rPr>
      </w:pPr>
      <w:r w:rsidRPr="00480E30">
        <w:rPr>
          <w:rFonts w:ascii="Arial" w:hAnsi="Arial" w:cs="Arial"/>
          <w:sz w:val="24"/>
        </w:rPr>
        <w:t xml:space="preserve">The DP Bill </w:t>
      </w:r>
      <w:r w:rsidR="00D76FEE">
        <w:rPr>
          <w:rFonts w:ascii="Arial" w:hAnsi="Arial" w:cs="Arial"/>
          <w:sz w:val="24"/>
        </w:rPr>
        <w:t xml:space="preserve">will become law when enacted as the Data Protection Act 2017. It will </w:t>
      </w:r>
      <w:r w:rsidR="00665BA1">
        <w:rPr>
          <w:rFonts w:ascii="Arial" w:hAnsi="Arial" w:cs="Arial"/>
          <w:sz w:val="24"/>
        </w:rPr>
        <w:t xml:space="preserve">explicitly </w:t>
      </w:r>
      <w:r w:rsidR="00D76FEE">
        <w:rPr>
          <w:rFonts w:ascii="Arial" w:hAnsi="Arial" w:cs="Arial"/>
          <w:sz w:val="24"/>
        </w:rPr>
        <w:t>bring</w:t>
      </w:r>
      <w:r w:rsidRPr="00480E30">
        <w:rPr>
          <w:rFonts w:ascii="Arial" w:hAnsi="Arial" w:cs="Arial"/>
          <w:sz w:val="24"/>
        </w:rPr>
        <w:t xml:space="preserve"> provisions of the GDPR </w:t>
      </w:r>
      <w:r w:rsidR="00D76FEE">
        <w:rPr>
          <w:rFonts w:ascii="Arial" w:hAnsi="Arial" w:cs="Arial"/>
          <w:sz w:val="24"/>
        </w:rPr>
        <w:t>in to</w:t>
      </w:r>
      <w:r w:rsidRPr="00480E30">
        <w:rPr>
          <w:rFonts w:ascii="Arial" w:hAnsi="Arial" w:cs="Arial"/>
          <w:sz w:val="24"/>
        </w:rPr>
        <w:t xml:space="preserve"> UK</w:t>
      </w:r>
      <w:r w:rsidR="00D76FEE">
        <w:rPr>
          <w:rFonts w:ascii="Arial" w:hAnsi="Arial" w:cs="Arial"/>
          <w:sz w:val="24"/>
        </w:rPr>
        <w:t xml:space="preserve"> </w:t>
      </w:r>
      <w:r w:rsidR="00665BA1">
        <w:rPr>
          <w:rFonts w:ascii="Arial" w:hAnsi="Arial" w:cs="Arial"/>
          <w:sz w:val="24"/>
        </w:rPr>
        <w:t>law and</w:t>
      </w:r>
      <w:r w:rsidR="00D76FEE">
        <w:rPr>
          <w:rFonts w:ascii="Arial" w:hAnsi="Arial" w:cs="Arial"/>
          <w:sz w:val="24"/>
        </w:rPr>
        <w:t xml:space="preserve"> establish continuity of the GDPR in the UK post Brexit</w:t>
      </w:r>
      <w:r w:rsidRPr="00480E30">
        <w:rPr>
          <w:rFonts w:ascii="Arial" w:hAnsi="Arial" w:cs="Arial"/>
          <w:sz w:val="24"/>
        </w:rPr>
        <w:t xml:space="preserve">. </w:t>
      </w:r>
      <w:r w:rsidR="006012D7">
        <w:rPr>
          <w:rFonts w:ascii="Arial" w:hAnsi="Arial" w:cs="Arial"/>
          <w:sz w:val="24"/>
        </w:rPr>
        <w:t xml:space="preserve">The Act will </w:t>
      </w:r>
      <w:r w:rsidR="00D76FEE">
        <w:rPr>
          <w:rFonts w:ascii="Arial" w:hAnsi="Arial" w:cs="Arial"/>
          <w:sz w:val="24"/>
        </w:rPr>
        <w:t>legislate in areas where the GDPR allows flexibility at national leve</w:t>
      </w:r>
      <w:r w:rsidR="006012D7">
        <w:rPr>
          <w:rFonts w:ascii="Arial" w:hAnsi="Arial" w:cs="Arial"/>
          <w:sz w:val="24"/>
        </w:rPr>
        <w:t>l. It</w:t>
      </w:r>
      <w:r w:rsidR="00363C85">
        <w:rPr>
          <w:rFonts w:ascii="Arial" w:hAnsi="Arial" w:cs="Arial"/>
          <w:sz w:val="24"/>
        </w:rPr>
        <w:t xml:space="preserve"> will </w:t>
      </w:r>
      <w:r w:rsidR="006012D7">
        <w:rPr>
          <w:rFonts w:ascii="Arial" w:hAnsi="Arial" w:cs="Arial"/>
          <w:sz w:val="24"/>
        </w:rPr>
        <w:t xml:space="preserve">also </w:t>
      </w:r>
      <w:r w:rsidR="00363C85">
        <w:rPr>
          <w:rFonts w:ascii="Arial" w:hAnsi="Arial" w:cs="Arial"/>
          <w:sz w:val="24"/>
        </w:rPr>
        <w:t>introduce</w:t>
      </w:r>
      <w:r w:rsidR="006012D7">
        <w:rPr>
          <w:rFonts w:ascii="Arial" w:hAnsi="Arial" w:cs="Arial"/>
          <w:sz w:val="24"/>
        </w:rPr>
        <w:t xml:space="preserve"> legislation on </w:t>
      </w:r>
      <w:r w:rsidR="00363C85">
        <w:rPr>
          <w:rFonts w:ascii="Arial" w:hAnsi="Arial" w:cs="Arial"/>
          <w:sz w:val="24"/>
        </w:rPr>
        <w:t>processing for law enforcement purposes (in support of the EU Law Enforcement Directive</w:t>
      </w:r>
      <w:r w:rsidR="006012D7">
        <w:rPr>
          <w:rFonts w:ascii="Arial" w:hAnsi="Arial" w:cs="Arial"/>
          <w:sz w:val="24"/>
        </w:rPr>
        <w:t>) and</w:t>
      </w:r>
      <w:r w:rsidR="00363C85">
        <w:rPr>
          <w:rFonts w:ascii="Arial" w:hAnsi="Arial" w:cs="Arial"/>
          <w:sz w:val="24"/>
        </w:rPr>
        <w:t xml:space="preserve"> </w:t>
      </w:r>
      <w:r w:rsidR="006012D7">
        <w:rPr>
          <w:rFonts w:ascii="Arial" w:hAnsi="Arial" w:cs="Arial"/>
          <w:sz w:val="24"/>
        </w:rPr>
        <w:t>by the intelligence services, and make provision for the Information Commissioner</w:t>
      </w:r>
      <w:r w:rsidR="007B0CE5">
        <w:rPr>
          <w:rFonts w:ascii="Arial" w:hAnsi="Arial" w:cs="Arial"/>
          <w:sz w:val="24"/>
        </w:rPr>
        <w:t xml:space="preserve"> (the UK regulator)</w:t>
      </w:r>
      <w:r w:rsidR="006012D7">
        <w:rPr>
          <w:rFonts w:ascii="Arial" w:hAnsi="Arial" w:cs="Arial"/>
          <w:sz w:val="24"/>
        </w:rPr>
        <w:t>.</w:t>
      </w:r>
      <w:r w:rsidR="00363C85">
        <w:rPr>
          <w:rFonts w:ascii="Arial" w:hAnsi="Arial" w:cs="Arial"/>
          <w:sz w:val="24"/>
        </w:rPr>
        <w:t xml:space="preserve"> </w:t>
      </w:r>
    </w:p>
    <w:p w14:paraId="4E5EA80C" w14:textId="77777777" w:rsidR="006012D7" w:rsidRPr="00480E30" w:rsidRDefault="006012D7" w:rsidP="00480E30">
      <w:pPr>
        <w:pStyle w:val="ListParagraph"/>
        <w:rPr>
          <w:rFonts w:ascii="Arial" w:hAnsi="Arial" w:cs="Arial"/>
          <w:sz w:val="24"/>
        </w:rPr>
      </w:pPr>
    </w:p>
    <w:p w14:paraId="2061BDB6" w14:textId="77777777" w:rsidR="007B1D95" w:rsidRPr="00480E30" w:rsidRDefault="007B1D95" w:rsidP="00480E30">
      <w:pPr>
        <w:pStyle w:val="ListParagraph"/>
        <w:numPr>
          <w:ilvl w:val="0"/>
          <w:numId w:val="5"/>
        </w:numPr>
        <w:rPr>
          <w:rFonts w:ascii="Arial" w:hAnsi="Arial" w:cs="Arial"/>
          <w:b/>
          <w:sz w:val="24"/>
        </w:rPr>
      </w:pPr>
      <w:r w:rsidRPr="00480E30">
        <w:rPr>
          <w:rFonts w:ascii="Arial" w:hAnsi="Arial" w:cs="Arial"/>
          <w:b/>
          <w:sz w:val="24"/>
        </w:rPr>
        <w:t xml:space="preserve">How does this affect current UK law on data protection </w:t>
      </w:r>
      <w:r w:rsidR="00DA5CA9" w:rsidRPr="00480E30">
        <w:rPr>
          <w:rFonts w:ascii="Arial" w:hAnsi="Arial" w:cs="Arial"/>
          <w:b/>
          <w:sz w:val="24"/>
        </w:rPr>
        <w:t xml:space="preserve">(DPA </w:t>
      </w:r>
      <w:r w:rsidRPr="00480E30">
        <w:rPr>
          <w:rFonts w:ascii="Arial" w:hAnsi="Arial" w:cs="Arial"/>
          <w:b/>
          <w:sz w:val="24"/>
        </w:rPr>
        <w:t>1998</w:t>
      </w:r>
      <w:r w:rsidR="00DA5CA9" w:rsidRPr="00480E30">
        <w:rPr>
          <w:rFonts w:ascii="Arial" w:hAnsi="Arial" w:cs="Arial"/>
          <w:b/>
          <w:sz w:val="24"/>
        </w:rPr>
        <w:t>)</w:t>
      </w:r>
      <w:r w:rsidRPr="00480E30">
        <w:rPr>
          <w:rFonts w:ascii="Arial" w:hAnsi="Arial" w:cs="Arial"/>
          <w:b/>
          <w:sz w:val="24"/>
        </w:rPr>
        <w:t>?</w:t>
      </w:r>
    </w:p>
    <w:p w14:paraId="60B7B16D" w14:textId="1CD04FE4" w:rsidR="00E5595A" w:rsidRPr="00480E30" w:rsidRDefault="00655150" w:rsidP="00480E30">
      <w:pPr>
        <w:pStyle w:val="ListParagraph"/>
        <w:rPr>
          <w:rFonts w:ascii="Arial" w:hAnsi="Arial" w:cs="Arial"/>
          <w:sz w:val="24"/>
        </w:rPr>
      </w:pPr>
      <w:r w:rsidRPr="00480E30">
        <w:rPr>
          <w:rFonts w:ascii="Arial" w:hAnsi="Arial" w:cs="Arial"/>
          <w:sz w:val="24"/>
        </w:rPr>
        <w:t xml:space="preserve">The </w:t>
      </w:r>
      <w:r w:rsidR="006012D7">
        <w:rPr>
          <w:rFonts w:ascii="Arial" w:hAnsi="Arial" w:cs="Arial"/>
          <w:sz w:val="24"/>
        </w:rPr>
        <w:t xml:space="preserve">DPA 1998 will be </w:t>
      </w:r>
      <w:r w:rsidR="00355B25">
        <w:rPr>
          <w:rFonts w:ascii="Arial" w:hAnsi="Arial" w:cs="Arial"/>
          <w:sz w:val="24"/>
        </w:rPr>
        <w:t>completely</w:t>
      </w:r>
      <w:r w:rsidR="00AB3DE9">
        <w:rPr>
          <w:rFonts w:ascii="Arial" w:hAnsi="Arial" w:cs="Arial"/>
          <w:sz w:val="24"/>
        </w:rPr>
        <w:t xml:space="preserve"> </w:t>
      </w:r>
      <w:r w:rsidR="006012D7">
        <w:rPr>
          <w:rFonts w:ascii="Arial" w:hAnsi="Arial" w:cs="Arial"/>
          <w:sz w:val="24"/>
        </w:rPr>
        <w:t xml:space="preserve">repealed. </w:t>
      </w:r>
    </w:p>
    <w:p w14:paraId="021E994A" w14:textId="77777777" w:rsidR="006F607C" w:rsidRDefault="006F607C" w:rsidP="006F607C">
      <w:pPr>
        <w:pStyle w:val="ListParagraph"/>
        <w:rPr>
          <w:rFonts w:ascii="Arial" w:hAnsi="Arial" w:cs="Arial"/>
          <w:b/>
          <w:sz w:val="24"/>
        </w:rPr>
      </w:pPr>
    </w:p>
    <w:p w14:paraId="6AEB5491" w14:textId="77777777" w:rsidR="0091020E" w:rsidRPr="00480E30" w:rsidRDefault="0091020E" w:rsidP="00480E30">
      <w:pPr>
        <w:pStyle w:val="ListParagraph"/>
        <w:numPr>
          <w:ilvl w:val="0"/>
          <w:numId w:val="5"/>
        </w:numPr>
        <w:rPr>
          <w:rFonts w:ascii="Arial" w:hAnsi="Arial" w:cs="Arial"/>
          <w:b/>
          <w:sz w:val="24"/>
        </w:rPr>
      </w:pPr>
      <w:r w:rsidRPr="00480E30">
        <w:rPr>
          <w:rFonts w:ascii="Arial" w:hAnsi="Arial" w:cs="Arial"/>
          <w:b/>
          <w:sz w:val="24"/>
        </w:rPr>
        <w:t>What are the penalties for non-compliance?</w:t>
      </w:r>
    </w:p>
    <w:p w14:paraId="611830B8" w14:textId="1C57C960" w:rsidR="003C55DF" w:rsidRPr="00AB3DE9" w:rsidRDefault="00AB3DE9" w:rsidP="00AB3DE9">
      <w:pPr>
        <w:pStyle w:val="ListParagraph"/>
        <w:rPr>
          <w:rFonts w:ascii="Arial" w:hAnsi="Arial" w:cs="Arial"/>
          <w:sz w:val="24"/>
        </w:rPr>
      </w:pPr>
      <w:r>
        <w:rPr>
          <w:rFonts w:ascii="Arial" w:hAnsi="Arial" w:cs="Arial"/>
          <w:sz w:val="24"/>
        </w:rPr>
        <w:t>F</w:t>
      </w:r>
      <w:r w:rsidRPr="00480E30">
        <w:rPr>
          <w:rFonts w:ascii="Arial" w:hAnsi="Arial" w:cs="Arial"/>
          <w:sz w:val="24"/>
        </w:rPr>
        <w:t xml:space="preserve">ines </w:t>
      </w:r>
      <w:r w:rsidR="006643E8" w:rsidRPr="00480E30">
        <w:rPr>
          <w:rFonts w:ascii="Arial" w:hAnsi="Arial" w:cs="Arial"/>
          <w:sz w:val="24"/>
        </w:rPr>
        <w:t xml:space="preserve">under the GDPR are </w:t>
      </w:r>
      <w:r>
        <w:rPr>
          <w:rFonts w:ascii="Arial" w:hAnsi="Arial" w:cs="Arial"/>
          <w:sz w:val="24"/>
        </w:rPr>
        <w:t xml:space="preserve">up to a maximum of </w:t>
      </w:r>
      <w:r w:rsidRPr="00AB3DE9">
        <w:rPr>
          <w:rFonts w:ascii="Arial" w:hAnsi="Arial" w:cs="Arial"/>
          <w:sz w:val="24"/>
          <w:szCs w:val="24"/>
        </w:rPr>
        <w:t>€</w:t>
      </w:r>
      <w:r w:rsidR="006643E8" w:rsidRPr="00AB3DE9">
        <w:rPr>
          <w:rFonts w:ascii="Arial" w:hAnsi="Arial" w:cs="Arial"/>
          <w:sz w:val="24"/>
        </w:rPr>
        <w:t>20 million or 4% of turnover.</w:t>
      </w:r>
      <w:r w:rsidR="00DA5CA9" w:rsidRPr="00AB3DE9">
        <w:rPr>
          <w:rFonts w:ascii="Arial" w:hAnsi="Arial" w:cs="Arial"/>
          <w:sz w:val="24"/>
        </w:rPr>
        <w:t xml:space="preserve"> For health and social care organisations</w:t>
      </w:r>
      <w:r w:rsidR="006643E8" w:rsidRPr="00AB3DE9">
        <w:rPr>
          <w:rFonts w:ascii="Arial" w:hAnsi="Arial" w:cs="Arial"/>
          <w:sz w:val="24"/>
        </w:rPr>
        <w:t xml:space="preserve">, any fine would be likely to give rise to a loss of public trust, attract media attention and thereby inflict </w:t>
      </w:r>
      <w:r w:rsidR="009B3ED1" w:rsidRPr="00AB3DE9">
        <w:rPr>
          <w:rFonts w:ascii="Arial" w:hAnsi="Arial" w:cs="Arial"/>
          <w:sz w:val="24"/>
        </w:rPr>
        <w:t xml:space="preserve">considerable </w:t>
      </w:r>
      <w:r w:rsidR="006643E8" w:rsidRPr="00AB3DE9">
        <w:rPr>
          <w:rFonts w:ascii="Arial" w:hAnsi="Arial" w:cs="Arial"/>
          <w:sz w:val="24"/>
        </w:rPr>
        <w:t xml:space="preserve">reputational damage. </w:t>
      </w:r>
      <w:r w:rsidR="00DA5CA9" w:rsidRPr="00AB3DE9">
        <w:rPr>
          <w:rFonts w:ascii="Arial" w:hAnsi="Arial" w:cs="Arial"/>
          <w:sz w:val="24"/>
        </w:rPr>
        <w:t>Therefore, it is important organisations ensure their compliance.</w:t>
      </w:r>
    </w:p>
    <w:p w14:paraId="7811DEED" w14:textId="77777777" w:rsidR="006F607C" w:rsidRPr="00480E30" w:rsidRDefault="006F607C" w:rsidP="00480E30">
      <w:pPr>
        <w:pStyle w:val="ListParagraph"/>
        <w:rPr>
          <w:rFonts w:ascii="Arial" w:hAnsi="Arial" w:cs="Arial"/>
          <w:sz w:val="24"/>
        </w:rPr>
      </w:pPr>
    </w:p>
    <w:p w14:paraId="60A2335D"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How does this affect m</w:t>
      </w:r>
      <w:r w:rsidR="00C214B8" w:rsidRPr="00480E30">
        <w:rPr>
          <w:rFonts w:ascii="Arial" w:hAnsi="Arial" w:cs="Arial"/>
          <w:b/>
          <w:sz w:val="24"/>
        </w:rPr>
        <w:t>e</w:t>
      </w:r>
      <w:r w:rsidRPr="00480E30">
        <w:rPr>
          <w:rFonts w:ascii="Arial" w:hAnsi="Arial" w:cs="Arial"/>
          <w:b/>
          <w:sz w:val="24"/>
        </w:rPr>
        <w:t>?</w:t>
      </w:r>
    </w:p>
    <w:p w14:paraId="49996DFF" w14:textId="77777777" w:rsidR="00FB225F" w:rsidRDefault="00D30329" w:rsidP="00480E30">
      <w:pPr>
        <w:pStyle w:val="ListParagraph"/>
        <w:rPr>
          <w:rFonts w:ascii="Arial" w:hAnsi="Arial" w:cs="Arial"/>
          <w:sz w:val="24"/>
        </w:rPr>
      </w:pPr>
      <w:r>
        <w:rPr>
          <w:rFonts w:ascii="Arial" w:hAnsi="Arial" w:cs="Arial"/>
          <w:sz w:val="24"/>
        </w:rPr>
        <w:t>The GDPR strengthen</w:t>
      </w:r>
      <w:r w:rsidR="006012D7">
        <w:rPr>
          <w:rFonts w:ascii="Arial" w:hAnsi="Arial" w:cs="Arial"/>
          <w:sz w:val="24"/>
        </w:rPr>
        <w:t>s the controls that organisations (data controllers) are required to have in place over</w:t>
      </w:r>
      <w:r>
        <w:rPr>
          <w:rFonts w:ascii="Arial" w:hAnsi="Arial" w:cs="Arial"/>
          <w:sz w:val="24"/>
        </w:rPr>
        <w:t xml:space="preserve"> th</w:t>
      </w:r>
      <w:r w:rsidR="006012D7">
        <w:rPr>
          <w:rFonts w:ascii="Arial" w:hAnsi="Arial" w:cs="Arial"/>
          <w:sz w:val="24"/>
        </w:rPr>
        <w:t>e processing</w:t>
      </w:r>
      <w:r>
        <w:rPr>
          <w:rFonts w:ascii="Arial" w:hAnsi="Arial" w:cs="Arial"/>
          <w:sz w:val="24"/>
        </w:rPr>
        <w:t xml:space="preserve"> of personal data</w:t>
      </w:r>
      <w:r w:rsidR="00FB225F">
        <w:rPr>
          <w:rFonts w:ascii="Arial" w:hAnsi="Arial" w:cs="Arial"/>
          <w:sz w:val="24"/>
        </w:rPr>
        <w:t xml:space="preserve">, </w:t>
      </w:r>
      <w:r>
        <w:rPr>
          <w:rFonts w:ascii="Arial" w:hAnsi="Arial" w:cs="Arial"/>
          <w:sz w:val="24"/>
        </w:rPr>
        <w:t>includ</w:t>
      </w:r>
      <w:r w:rsidR="00FB225F">
        <w:rPr>
          <w:rFonts w:ascii="Arial" w:hAnsi="Arial" w:cs="Arial"/>
          <w:sz w:val="24"/>
        </w:rPr>
        <w:t>ing</w:t>
      </w:r>
      <w:r>
        <w:rPr>
          <w:rFonts w:ascii="Arial" w:hAnsi="Arial" w:cs="Arial"/>
          <w:sz w:val="24"/>
        </w:rPr>
        <w:t xml:space="preserve"> pseudonymised personal data. </w:t>
      </w:r>
    </w:p>
    <w:p w14:paraId="1E1DA91A" w14:textId="77777777" w:rsidR="00FB225F" w:rsidRDefault="00FB225F" w:rsidP="00480E30">
      <w:pPr>
        <w:pStyle w:val="ListParagraph"/>
        <w:rPr>
          <w:rFonts w:ascii="Arial" w:hAnsi="Arial" w:cs="Arial"/>
          <w:sz w:val="24"/>
        </w:rPr>
      </w:pPr>
    </w:p>
    <w:p w14:paraId="72ED1FA3" w14:textId="77777777" w:rsidR="00FB225F" w:rsidRDefault="00FB225F" w:rsidP="00480E30">
      <w:pPr>
        <w:pStyle w:val="ListParagraph"/>
        <w:rPr>
          <w:rFonts w:ascii="Arial" w:hAnsi="Arial" w:cs="Arial"/>
          <w:sz w:val="24"/>
        </w:rPr>
      </w:pPr>
      <w:r>
        <w:rPr>
          <w:rFonts w:ascii="Arial" w:hAnsi="Arial" w:cs="Arial"/>
          <w:sz w:val="24"/>
        </w:rPr>
        <w:t>Headline impacts are:</w:t>
      </w:r>
    </w:p>
    <w:p w14:paraId="0DE39E37" w14:textId="77777777" w:rsidR="00FB225F" w:rsidRDefault="00FB225F" w:rsidP="00480E30">
      <w:pPr>
        <w:pStyle w:val="ListParagraph"/>
        <w:rPr>
          <w:rFonts w:ascii="Arial" w:hAnsi="Arial" w:cs="Arial"/>
          <w:sz w:val="24"/>
        </w:rPr>
      </w:pPr>
    </w:p>
    <w:p w14:paraId="703949F7" w14:textId="43CDBAC6" w:rsidR="008D54EF" w:rsidRDefault="008D54EF" w:rsidP="008D54EF">
      <w:pPr>
        <w:pStyle w:val="ListParagraph"/>
        <w:numPr>
          <w:ilvl w:val="0"/>
          <w:numId w:val="11"/>
        </w:numPr>
        <w:rPr>
          <w:rFonts w:ascii="Arial" w:hAnsi="Arial" w:cs="Arial"/>
          <w:sz w:val="24"/>
        </w:rPr>
      </w:pPr>
      <w:r w:rsidRPr="00FB225F">
        <w:rPr>
          <w:rFonts w:ascii="Arial" w:hAnsi="Arial" w:cs="Arial"/>
          <w:sz w:val="24"/>
        </w:rPr>
        <w:t xml:space="preserve">Appointment of Data Protection Officer </w:t>
      </w:r>
      <w:r w:rsidR="008A329B">
        <w:rPr>
          <w:rFonts w:ascii="Arial" w:hAnsi="Arial" w:cs="Arial"/>
          <w:sz w:val="24"/>
        </w:rPr>
        <w:t xml:space="preserve">(DPO) </w:t>
      </w:r>
      <w:r w:rsidRPr="00FB225F">
        <w:rPr>
          <w:rFonts w:ascii="Arial" w:hAnsi="Arial" w:cs="Arial"/>
          <w:sz w:val="24"/>
        </w:rPr>
        <w:t>mandatory for all public authorities</w:t>
      </w:r>
    </w:p>
    <w:p w14:paraId="60D78C74" w14:textId="77777777" w:rsidR="00FB225F" w:rsidRPr="00FB225F" w:rsidRDefault="00FB225F" w:rsidP="00580410">
      <w:pPr>
        <w:pStyle w:val="ListParagraph"/>
        <w:numPr>
          <w:ilvl w:val="0"/>
          <w:numId w:val="11"/>
        </w:numPr>
        <w:rPr>
          <w:rFonts w:ascii="Arial" w:hAnsi="Arial" w:cs="Arial"/>
          <w:sz w:val="24"/>
        </w:rPr>
      </w:pPr>
      <w:r w:rsidRPr="00FB225F">
        <w:rPr>
          <w:rFonts w:ascii="Arial" w:hAnsi="Arial" w:cs="Arial"/>
          <w:sz w:val="24"/>
        </w:rPr>
        <w:lastRenderedPageBreak/>
        <w:t>Organisations obliged to demonstrate that they comply with the new law</w:t>
      </w:r>
      <w:r w:rsidR="008D54EF">
        <w:rPr>
          <w:rFonts w:ascii="Arial" w:hAnsi="Arial" w:cs="Arial"/>
          <w:sz w:val="24"/>
        </w:rPr>
        <w:t xml:space="preserve"> (the concept of ‘accountability’).</w:t>
      </w:r>
    </w:p>
    <w:p w14:paraId="136BB422" w14:textId="0D2E5A22" w:rsidR="00FB225F" w:rsidRPr="00355B25" w:rsidRDefault="00FB225F" w:rsidP="00355B25">
      <w:pPr>
        <w:pStyle w:val="ListParagraph"/>
        <w:numPr>
          <w:ilvl w:val="0"/>
          <w:numId w:val="11"/>
        </w:numPr>
        <w:rPr>
          <w:rFonts w:ascii="Arial" w:hAnsi="Arial" w:cs="Arial"/>
          <w:sz w:val="24"/>
        </w:rPr>
      </w:pPr>
      <w:r>
        <w:rPr>
          <w:rFonts w:ascii="Arial" w:hAnsi="Arial" w:cs="Arial"/>
          <w:sz w:val="24"/>
        </w:rPr>
        <w:t xml:space="preserve">Significantly increased </w:t>
      </w:r>
      <w:r w:rsidRPr="00FB225F">
        <w:rPr>
          <w:rFonts w:ascii="Arial" w:hAnsi="Arial" w:cs="Arial"/>
          <w:sz w:val="24"/>
        </w:rPr>
        <w:t>penalties possible for any breach of the Regulation – not just data breaches</w:t>
      </w:r>
      <w:r w:rsidR="008D54EF">
        <w:rPr>
          <w:rFonts w:ascii="Arial" w:hAnsi="Arial" w:cs="Arial"/>
          <w:sz w:val="24"/>
        </w:rPr>
        <w:t xml:space="preserve"> (see above). </w:t>
      </w:r>
    </w:p>
    <w:p w14:paraId="25EA2D95" w14:textId="77777777" w:rsidR="00FB225F" w:rsidRPr="00FB225F" w:rsidRDefault="00FB225F" w:rsidP="00580410">
      <w:pPr>
        <w:pStyle w:val="ListParagraph"/>
        <w:numPr>
          <w:ilvl w:val="0"/>
          <w:numId w:val="11"/>
        </w:numPr>
        <w:rPr>
          <w:rFonts w:ascii="Arial" w:hAnsi="Arial" w:cs="Arial"/>
          <w:sz w:val="24"/>
        </w:rPr>
      </w:pPr>
      <w:r w:rsidRPr="00FB225F">
        <w:rPr>
          <w:rFonts w:ascii="Arial" w:hAnsi="Arial" w:cs="Arial"/>
          <w:sz w:val="24"/>
        </w:rPr>
        <w:t>Legal requirement for security breach notification</w:t>
      </w:r>
      <w:r w:rsidR="008D54EF">
        <w:rPr>
          <w:rFonts w:ascii="Arial" w:hAnsi="Arial" w:cs="Arial"/>
          <w:sz w:val="24"/>
        </w:rPr>
        <w:t>.</w:t>
      </w:r>
    </w:p>
    <w:p w14:paraId="23E36D92" w14:textId="77777777" w:rsidR="00FB225F" w:rsidRDefault="00FB225F" w:rsidP="00580410">
      <w:pPr>
        <w:pStyle w:val="ListParagraph"/>
        <w:numPr>
          <w:ilvl w:val="0"/>
          <w:numId w:val="11"/>
        </w:numPr>
        <w:rPr>
          <w:rFonts w:ascii="Arial" w:hAnsi="Arial" w:cs="Arial"/>
          <w:sz w:val="24"/>
        </w:rPr>
      </w:pPr>
      <w:r w:rsidRPr="00FB225F">
        <w:rPr>
          <w:rFonts w:ascii="Arial" w:hAnsi="Arial" w:cs="Arial"/>
          <w:sz w:val="24"/>
        </w:rPr>
        <w:t>Removal of charges, in most cases, for providing copies o</w:t>
      </w:r>
      <w:r>
        <w:rPr>
          <w:rFonts w:ascii="Arial" w:hAnsi="Arial" w:cs="Arial"/>
          <w:sz w:val="24"/>
        </w:rPr>
        <w:t xml:space="preserve">f records to patients or staff </w:t>
      </w:r>
      <w:r w:rsidRPr="00FB225F">
        <w:rPr>
          <w:rFonts w:ascii="Arial" w:hAnsi="Arial" w:cs="Arial"/>
          <w:sz w:val="24"/>
        </w:rPr>
        <w:t>who request them</w:t>
      </w:r>
      <w:r w:rsidR="008D54EF">
        <w:rPr>
          <w:rFonts w:ascii="Arial" w:hAnsi="Arial" w:cs="Arial"/>
          <w:sz w:val="24"/>
        </w:rPr>
        <w:t>.</w:t>
      </w:r>
    </w:p>
    <w:p w14:paraId="66EF359B" w14:textId="77777777" w:rsidR="00FB225F" w:rsidRPr="00580410" w:rsidRDefault="00FB225F" w:rsidP="00580410">
      <w:pPr>
        <w:pStyle w:val="ListParagraph"/>
        <w:numPr>
          <w:ilvl w:val="0"/>
          <w:numId w:val="11"/>
        </w:numPr>
        <w:rPr>
          <w:rFonts w:ascii="Arial" w:hAnsi="Arial" w:cs="Arial"/>
          <w:sz w:val="24"/>
        </w:rPr>
      </w:pPr>
      <w:r w:rsidRPr="00580410">
        <w:rPr>
          <w:rFonts w:ascii="Arial" w:hAnsi="Arial" w:cs="Arial"/>
          <w:sz w:val="24"/>
        </w:rPr>
        <w:t>Requirement to keep records of data processing activities</w:t>
      </w:r>
      <w:r w:rsidR="008D54EF">
        <w:rPr>
          <w:rFonts w:ascii="Arial" w:hAnsi="Arial" w:cs="Arial"/>
          <w:sz w:val="24"/>
        </w:rPr>
        <w:t>.</w:t>
      </w:r>
    </w:p>
    <w:p w14:paraId="4B6A69B5" w14:textId="77777777" w:rsidR="00FB225F" w:rsidRDefault="00FB225F" w:rsidP="00580410">
      <w:pPr>
        <w:pStyle w:val="ListParagraph"/>
        <w:numPr>
          <w:ilvl w:val="0"/>
          <w:numId w:val="11"/>
        </w:numPr>
        <w:rPr>
          <w:rFonts w:ascii="Arial" w:hAnsi="Arial" w:cs="Arial"/>
          <w:sz w:val="24"/>
        </w:rPr>
      </w:pPr>
      <w:r w:rsidRPr="00580410">
        <w:rPr>
          <w:rFonts w:ascii="Arial" w:hAnsi="Arial" w:cs="Arial"/>
          <w:sz w:val="24"/>
        </w:rPr>
        <w:t>Data Protection Impact Assessment required for high risk processing</w:t>
      </w:r>
      <w:r w:rsidR="008D54EF">
        <w:rPr>
          <w:rFonts w:ascii="Arial" w:hAnsi="Arial" w:cs="Arial"/>
          <w:sz w:val="24"/>
        </w:rPr>
        <w:t xml:space="preserve"> (which includes the large-scale processing of health-related personal data).</w:t>
      </w:r>
    </w:p>
    <w:p w14:paraId="4C661514" w14:textId="77777777" w:rsidR="008D54EF" w:rsidRDefault="00FB225F" w:rsidP="00580410">
      <w:pPr>
        <w:pStyle w:val="ListParagraph"/>
        <w:numPr>
          <w:ilvl w:val="0"/>
          <w:numId w:val="11"/>
        </w:numPr>
        <w:rPr>
          <w:rFonts w:ascii="Arial" w:hAnsi="Arial" w:cs="Arial"/>
          <w:sz w:val="24"/>
        </w:rPr>
      </w:pPr>
      <w:r w:rsidRPr="00580410">
        <w:rPr>
          <w:rFonts w:ascii="Arial" w:hAnsi="Arial" w:cs="Arial"/>
          <w:sz w:val="24"/>
        </w:rPr>
        <w:t>Data protection issues must be addressed in all information processes</w:t>
      </w:r>
      <w:r w:rsidR="008D54EF">
        <w:rPr>
          <w:rFonts w:ascii="Arial" w:hAnsi="Arial" w:cs="Arial"/>
          <w:sz w:val="24"/>
        </w:rPr>
        <w:t>.</w:t>
      </w:r>
    </w:p>
    <w:p w14:paraId="03438652" w14:textId="77777777" w:rsidR="00FB225F" w:rsidRDefault="00FB225F" w:rsidP="00580410">
      <w:pPr>
        <w:pStyle w:val="ListParagraph"/>
        <w:numPr>
          <w:ilvl w:val="0"/>
          <w:numId w:val="11"/>
        </w:numPr>
        <w:rPr>
          <w:rFonts w:ascii="Arial" w:hAnsi="Arial" w:cs="Arial"/>
          <w:sz w:val="24"/>
        </w:rPr>
      </w:pPr>
      <w:r w:rsidRPr="00580410">
        <w:rPr>
          <w:rFonts w:ascii="Arial" w:hAnsi="Arial" w:cs="Arial"/>
          <w:sz w:val="24"/>
        </w:rPr>
        <w:t>Specific requirements for transparency and fair processing</w:t>
      </w:r>
      <w:r w:rsidR="008D54EF">
        <w:rPr>
          <w:rFonts w:ascii="Arial" w:hAnsi="Arial" w:cs="Arial"/>
          <w:sz w:val="24"/>
        </w:rPr>
        <w:t>.</w:t>
      </w:r>
    </w:p>
    <w:p w14:paraId="5084BA66" w14:textId="77777777" w:rsidR="00FB225F" w:rsidRPr="00580410" w:rsidRDefault="00FB225F" w:rsidP="00580410">
      <w:pPr>
        <w:pStyle w:val="ListParagraph"/>
        <w:numPr>
          <w:ilvl w:val="0"/>
          <w:numId w:val="11"/>
        </w:numPr>
        <w:rPr>
          <w:rFonts w:ascii="Arial" w:hAnsi="Arial" w:cs="Arial"/>
          <w:sz w:val="24"/>
        </w:rPr>
      </w:pPr>
      <w:r w:rsidRPr="00580410">
        <w:rPr>
          <w:rFonts w:ascii="Arial" w:hAnsi="Arial" w:cs="Arial"/>
          <w:sz w:val="24"/>
        </w:rPr>
        <w:t>Tighter rules where consent is the basis for processing.</w:t>
      </w:r>
    </w:p>
    <w:p w14:paraId="0EEFC742" w14:textId="77777777" w:rsidR="00FB225F" w:rsidRDefault="00FB225F" w:rsidP="00580410">
      <w:pPr>
        <w:spacing w:after="0"/>
        <w:ind w:left="709"/>
        <w:rPr>
          <w:rFonts w:ascii="Arial" w:hAnsi="Arial" w:cs="Arial"/>
          <w:sz w:val="24"/>
          <w:szCs w:val="24"/>
        </w:rPr>
      </w:pPr>
      <w:r>
        <w:rPr>
          <w:rFonts w:ascii="Arial" w:hAnsi="Arial" w:cs="Arial"/>
          <w:sz w:val="24"/>
          <w:szCs w:val="24"/>
        </w:rPr>
        <w:t>Some of these requirements should be established good practice. Organisations that are performing well in their information governance toolkit scores should have a good baseline to work from. However, these legal requirements require organisations to take specified actions, and have evidence to demonstrate that they have done so.</w:t>
      </w:r>
    </w:p>
    <w:p w14:paraId="1FBBDE2F" w14:textId="77777777" w:rsidR="00FB225F" w:rsidRDefault="00FB225F" w:rsidP="00480E30">
      <w:pPr>
        <w:pStyle w:val="ListParagraph"/>
        <w:rPr>
          <w:rFonts w:ascii="Arial" w:hAnsi="Arial" w:cs="Arial"/>
          <w:sz w:val="24"/>
        </w:rPr>
      </w:pPr>
    </w:p>
    <w:p w14:paraId="05477530" w14:textId="121D0549" w:rsidR="007372A0" w:rsidRDefault="00FB225F" w:rsidP="00D30329">
      <w:pPr>
        <w:pStyle w:val="ListParagraph"/>
        <w:rPr>
          <w:rFonts w:ascii="Arial" w:hAnsi="Arial" w:cs="Arial"/>
          <w:sz w:val="24"/>
        </w:rPr>
      </w:pPr>
      <w:r>
        <w:rPr>
          <w:rFonts w:ascii="Arial" w:hAnsi="Arial" w:cs="Arial"/>
          <w:sz w:val="24"/>
        </w:rPr>
        <w:t>Organisations</w:t>
      </w:r>
      <w:r w:rsidR="00732138">
        <w:rPr>
          <w:rFonts w:ascii="Arial" w:hAnsi="Arial" w:cs="Arial"/>
          <w:sz w:val="24"/>
        </w:rPr>
        <w:t xml:space="preserve"> should </w:t>
      </w:r>
      <w:r>
        <w:rPr>
          <w:rFonts w:ascii="Arial" w:hAnsi="Arial" w:cs="Arial"/>
          <w:sz w:val="24"/>
        </w:rPr>
        <w:t>undertake</w:t>
      </w:r>
      <w:r w:rsidR="00732138">
        <w:rPr>
          <w:rFonts w:ascii="Arial" w:hAnsi="Arial" w:cs="Arial"/>
          <w:sz w:val="24"/>
        </w:rPr>
        <w:t xml:space="preserve"> a thorough review of the GDPR</w:t>
      </w:r>
      <w:r w:rsidR="007372A0">
        <w:rPr>
          <w:rFonts w:ascii="Arial" w:hAnsi="Arial" w:cs="Arial"/>
          <w:sz w:val="24"/>
        </w:rPr>
        <w:t xml:space="preserve"> requirements</w:t>
      </w:r>
      <w:r w:rsidR="007B0CE5">
        <w:rPr>
          <w:rFonts w:ascii="Arial" w:hAnsi="Arial" w:cs="Arial"/>
          <w:sz w:val="24"/>
        </w:rPr>
        <w:t>,</w:t>
      </w:r>
      <w:r w:rsidR="00732138">
        <w:rPr>
          <w:rFonts w:ascii="Arial" w:hAnsi="Arial" w:cs="Arial"/>
          <w:sz w:val="24"/>
        </w:rPr>
        <w:t xml:space="preserve"> including the helpful and on-going </w:t>
      </w:r>
      <w:r w:rsidR="00D30329">
        <w:rPr>
          <w:rFonts w:ascii="Arial" w:hAnsi="Arial" w:cs="Arial"/>
          <w:sz w:val="24"/>
        </w:rPr>
        <w:t xml:space="preserve">guidance published by the </w:t>
      </w:r>
      <w:r w:rsidR="007B0CE5">
        <w:rPr>
          <w:rFonts w:ascii="Arial" w:hAnsi="Arial" w:cs="Arial"/>
          <w:sz w:val="24"/>
        </w:rPr>
        <w:t>Information Commissioner’s Office (</w:t>
      </w:r>
      <w:r w:rsidR="00D30329">
        <w:rPr>
          <w:rFonts w:ascii="Arial" w:hAnsi="Arial" w:cs="Arial"/>
          <w:sz w:val="24"/>
        </w:rPr>
        <w:t>ICO</w:t>
      </w:r>
      <w:r w:rsidR="007B0CE5">
        <w:rPr>
          <w:rFonts w:ascii="Arial" w:hAnsi="Arial" w:cs="Arial"/>
          <w:sz w:val="24"/>
        </w:rPr>
        <w:t>),</w:t>
      </w:r>
      <w:r w:rsidR="00D30329">
        <w:rPr>
          <w:rFonts w:ascii="Arial" w:hAnsi="Arial" w:cs="Arial"/>
          <w:sz w:val="24"/>
        </w:rPr>
        <w:t xml:space="preserve"> to ensure </w:t>
      </w:r>
      <w:r w:rsidR="00732138">
        <w:rPr>
          <w:rFonts w:ascii="Arial" w:hAnsi="Arial" w:cs="Arial"/>
          <w:sz w:val="24"/>
        </w:rPr>
        <w:t xml:space="preserve">you are compliant. This is especially important as areas which were </w:t>
      </w:r>
      <w:r w:rsidR="008D54EF">
        <w:rPr>
          <w:rFonts w:ascii="Arial" w:hAnsi="Arial" w:cs="Arial"/>
          <w:sz w:val="24"/>
        </w:rPr>
        <w:t xml:space="preserve">good </w:t>
      </w:r>
      <w:r w:rsidR="00732138">
        <w:rPr>
          <w:rFonts w:ascii="Arial" w:hAnsi="Arial" w:cs="Arial"/>
          <w:sz w:val="24"/>
        </w:rPr>
        <w:t xml:space="preserve">practice </w:t>
      </w:r>
      <w:r w:rsidR="008D54EF">
        <w:rPr>
          <w:rFonts w:ascii="Arial" w:hAnsi="Arial" w:cs="Arial"/>
          <w:sz w:val="24"/>
        </w:rPr>
        <w:t>are now legal requirements (</w:t>
      </w:r>
      <w:r w:rsidR="00355B25">
        <w:rPr>
          <w:rFonts w:ascii="Arial" w:hAnsi="Arial" w:cs="Arial"/>
          <w:sz w:val="24"/>
        </w:rPr>
        <w:t>e.g.</w:t>
      </w:r>
      <w:r w:rsidR="008D54EF">
        <w:rPr>
          <w:rFonts w:ascii="Arial" w:hAnsi="Arial" w:cs="Arial"/>
          <w:sz w:val="24"/>
        </w:rPr>
        <w:t xml:space="preserve"> the Data Protection Impact Assessment – see below)</w:t>
      </w:r>
      <w:r w:rsidR="00D30329">
        <w:rPr>
          <w:rFonts w:ascii="Arial" w:hAnsi="Arial" w:cs="Arial"/>
          <w:sz w:val="24"/>
        </w:rPr>
        <w:t xml:space="preserve">. </w:t>
      </w:r>
    </w:p>
    <w:p w14:paraId="21676A30" w14:textId="77777777" w:rsidR="007372A0" w:rsidRDefault="007372A0" w:rsidP="00D30329">
      <w:pPr>
        <w:pStyle w:val="ListParagraph"/>
        <w:rPr>
          <w:rFonts w:ascii="Arial" w:hAnsi="Arial" w:cs="Arial"/>
          <w:sz w:val="24"/>
        </w:rPr>
      </w:pPr>
    </w:p>
    <w:p w14:paraId="78ACE4BA" w14:textId="6580BB73" w:rsidR="00DA5CA9" w:rsidRPr="007372A0" w:rsidRDefault="00732138" w:rsidP="007372A0">
      <w:pPr>
        <w:pStyle w:val="ListParagraph"/>
        <w:rPr>
          <w:rFonts w:ascii="Arial" w:hAnsi="Arial" w:cs="Arial"/>
          <w:sz w:val="24"/>
        </w:rPr>
      </w:pPr>
      <w:r>
        <w:rPr>
          <w:rFonts w:ascii="Arial" w:hAnsi="Arial" w:cs="Arial"/>
          <w:sz w:val="24"/>
        </w:rPr>
        <w:t xml:space="preserve">Other </w:t>
      </w:r>
      <w:r w:rsidR="007B0CE5">
        <w:rPr>
          <w:rFonts w:ascii="Arial" w:hAnsi="Arial" w:cs="Arial"/>
          <w:sz w:val="24"/>
        </w:rPr>
        <w:t>issues to think about include</w:t>
      </w:r>
      <w:r>
        <w:rPr>
          <w:rFonts w:ascii="Arial" w:hAnsi="Arial" w:cs="Arial"/>
          <w:sz w:val="24"/>
        </w:rPr>
        <w:t xml:space="preserve"> the information provided to data subjects. Most health and social care organisations provide </w:t>
      </w:r>
      <w:r w:rsidR="007B0CE5">
        <w:rPr>
          <w:rFonts w:ascii="Arial" w:hAnsi="Arial" w:cs="Arial"/>
          <w:sz w:val="24"/>
        </w:rPr>
        <w:t>privacy</w:t>
      </w:r>
      <w:r>
        <w:rPr>
          <w:rFonts w:ascii="Arial" w:hAnsi="Arial" w:cs="Arial"/>
          <w:sz w:val="24"/>
        </w:rPr>
        <w:t xml:space="preserve"> notices to their data subjects as standard which explains what they use personal data for and why etc. </w:t>
      </w:r>
      <w:r w:rsidR="007372A0">
        <w:rPr>
          <w:rFonts w:ascii="Arial" w:hAnsi="Arial" w:cs="Arial"/>
          <w:sz w:val="24"/>
        </w:rPr>
        <w:t xml:space="preserve">The ICO have </w:t>
      </w:r>
      <w:r w:rsidR="00355B25">
        <w:rPr>
          <w:rFonts w:ascii="Arial" w:hAnsi="Arial" w:cs="Arial"/>
          <w:sz w:val="24"/>
        </w:rPr>
        <w:t>published a</w:t>
      </w:r>
      <w:r w:rsidR="008D54EF">
        <w:rPr>
          <w:rFonts w:ascii="Arial" w:hAnsi="Arial" w:cs="Arial"/>
          <w:sz w:val="24"/>
        </w:rPr>
        <w:t xml:space="preserve"> code of practice</w:t>
      </w:r>
      <w:r w:rsidR="007372A0">
        <w:rPr>
          <w:rFonts w:ascii="Arial" w:hAnsi="Arial" w:cs="Arial"/>
          <w:sz w:val="24"/>
        </w:rPr>
        <w:t xml:space="preserve"> on what should be included. </w:t>
      </w:r>
      <w:r w:rsidRPr="007372A0">
        <w:rPr>
          <w:rFonts w:ascii="Arial" w:hAnsi="Arial" w:cs="Arial"/>
          <w:sz w:val="24"/>
        </w:rPr>
        <w:t xml:space="preserve">The GPDR </w:t>
      </w:r>
      <w:r w:rsidR="007372A0">
        <w:rPr>
          <w:rFonts w:ascii="Arial" w:hAnsi="Arial" w:cs="Arial"/>
          <w:sz w:val="24"/>
        </w:rPr>
        <w:t xml:space="preserve">/ DP Bill now </w:t>
      </w:r>
      <w:r w:rsidRPr="007372A0">
        <w:rPr>
          <w:rFonts w:ascii="Arial" w:hAnsi="Arial" w:cs="Arial"/>
          <w:sz w:val="24"/>
        </w:rPr>
        <w:t>requires</w:t>
      </w:r>
      <w:r w:rsidR="007372A0">
        <w:rPr>
          <w:rFonts w:ascii="Arial" w:hAnsi="Arial" w:cs="Arial"/>
          <w:sz w:val="24"/>
        </w:rPr>
        <w:t xml:space="preserve"> specific information be provided to a</w:t>
      </w:r>
      <w:r w:rsidRPr="007372A0">
        <w:rPr>
          <w:rFonts w:ascii="Arial" w:hAnsi="Arial" w:cs="Arial"/>
          <w:sz w:val="24"/>
        </w:rPr>
        <w:t xml:space="preserve"> data subject. Articles 12 – 14 of the GPDR </w:t>
      </w:r>
      <w:r w:rsidR="007B0CE5">
        <w:rPr>
          <w:rFonts w:ascii="Arial" w:hAnsi="Arial" w:cs="Arial"/>
          <w:sz w:val="24"/>
        </w:rPr>
        <w:t>set out what will be required.</w:t>
      </w:r>
    </w:p>
    <w:p w14:paraId="1BCF9CC6" w14:textId="77777777" w:rsidR="00E035FB" w:rsidRPr="00480E30" w:rsidRDefault="00E035FB" w:rsidP="00480E30">
      <w:pPr>
        <w:pStyle w:val="ListParagraph"/>
        <w:rPr>
          <w:rFonts w:ascii="Arial" w:hAnsi="Arial" w:cs="Arial"/>
          <w:sz w:val="24"/>
        </w:rPr>
      </w:pPr>
    </w:p>
    <w:p w14:paraId="06BE0C4F" w14:textId="77777777" w:rsidR="00206557" w:rsidRPr="00480E30" w:rsidRDefault="00906FA8" w:rsidP="00480E30">
      <w:pPr>
        <w:pStyle w:val="ListParagraph"/>
        <w:numPr>
          <w:ilvl w:val="0"/>
          <w:numId w:val="5"/>
        </w:numPr>
        <w:rPr>
          <w:rFonts w:ascii="Arial" w:hAnsi="Arial" w:cs="Arial"/>
          <w:b/>
          <w:sz w:val="24"/>
        </w:rPr>
      </w:pPr>
      <w:r w:rsidRPr="00480E30">
        <w:rPr>
          <w:rFonts w:ascii="Arial" w:hAnsi="Arial" w:cs="Arial"/>
          <w:b/>
          <w:sz w:val="24"/>
        </w:rPr>
        <w:t>What i</w:t>
      </w:r>
      <w:r w:rsidR="00DA5CA9" w:rsidRPr="00480E30">
        <w:rPr>
          <w:rFonts w:ascii="Arial" w:hAnsi="Arial" w:cs="Arial"/>
          <w:b/>
          <w:sz w:val="24"/>
        </w:rPr>
        <w:t>s</w:t>
      </w:r>
      <w:r w:rsidR="00206557" w:rsidRPr="00480E30">
        <w:rPr>
          <w:rFonts w:ascii="Arial" w:hAnsi="Arial" w:cs="Arial"/>
          <w:b/>
          <w:sz w:val="24"/>
        </w:rPr>
        <w:t xml:space="preserve"> a Data Protection Impact Assessment (DPIA)</w:t>
      </w:r>
      <w:r w:rsidR="00A14213" w:rsidRPr="00480E30">
        <w:rPr>
          <w:rFonts w:ascii="Arial" w:hAnsi="Arial" w:cs="Arial"/>
          <w:b/>
          <w:sz w:val="24"/>
        </w:rPr>
        <w:t>?</w:t>
      </w:r>
    </w:p>
    <w:p w14:paraId="43EAE4E7" w14:textId="77777777" w:rsidR="00DA5CA9" w:rsidRPr="00480E30" w:rsidRDefault="00206557" w:rsidP="00480E30">
      <w:pPr>
        <w:pStyle w:val="ListParagraph"/>
        <w:rPr>
          <w:rFonts w:ascii="Arial" w:hAnsi="Arial" w:cs="Arial"/>
          <w:sz w:val="24"/>
        </w:rPr>
      </w:pPr>
      <w:r w:rsidRPr="00480E30">
        <w:rPr>
          <w:rFonts w:ascii="Arial" w:hAnsi="Arial" w:cs="Arial"/>
          <w:sz w:val="24"/>
        </w:rPr>
        <w:t xml:space="preserve">A DPIA </w:t>
      </w:r>
      <w:r w:rsidR="00254BFA" w:rsidRPr="00480E30">
        <w:rPr>
          <w:rFonts w:ascii="Arial" w:hAnsi="Arial" w:cs="Arial"/>
          <w:sz w:val="24"/>
        </w:rPr>
        <w:t xml:space="preserve">is a mechanism </w:t>
      </w:r>
      <w:r w:rsidR="00906FA8" w:rsidRPr="00480E30">
        <w:rPr>
          <w:rFonts w:ascii="Arial" w:hAnsi="Arial" w:cs="Arial"/>
          <w:sz w:val="24"/>
        </w:rPr>
        <w:t xml:space="preserve">for identifying, </w:t>
      </w:r>
      <w:r w:rsidR="00E34A5D" w:rsidRPr="00480E30">
        <w:rPr>
          <w:rFonts w:ascii="Arial" w:hAnsi="Arial" w:cs="Arial"/>
          <w:sz w:val="24"/>
        </w:rPr>
        <w:t xml:space="preserve">quantifying and mitigating data privacy risks. It is </w:t>
      </w:r>
      <w:r w:rsidR="00254BFA" w:rsidRPr="00480E30">
        <w:rPr>
          <w:rFonts w:ascii="Arial" w:hAnsi="Arial" w:cs="Arial"/>
          <w:sz w:val="24"/>
        </w:rPr>
        <w:t xml:space="preserve">undertaken </w:t>
      </w:r>
      <w:r w:rsidR="00E34A5D" w:rsidRPr="00480E30">
        <w:rPr>
          <w:rFonts w:ascii="Arial" w:hAnsi="Arial" w:cs="Arial"/>
          <w:sz w:val="24"/>
        </w:rPr>
        <w:t>to</w:t>
      </w:r>
      <w:r w:rsidR="00254BFA" w:rsidRPr="00480E30">
        <w:rPr>
          <w:rFonts w:ascii="Arial" w:hAnsi="Arial" w:cs="Arial"/>
          <w:sz w:val="24"/>
        </w:rPr>
        <w:t xml:space="preserve"> ensure appropriate controls are put in place when any new process, system or ways of working </w:t>
      </w:r>
      <w:r w:rsidR="00E34A5D" w:rsidRPr="00480E30">
        <w:rPr>
          <w:rFonts w:ascii="Arial" w:hAnsi="Arial" w:cs="Arial"/>
          <w:sz w:val="24"/>
        </w:rPr>
        <w:t xml:space="preserve">involving the </w:t>
      </w:r>
      <w:r w:rsidR="00254BFA" w:rsidRPr="00480E30">
        <w:rPr>
          <w:rFonts w:ascii="Arial" w:hAnsi="Arial" w:cs="Arial"/>
          <w:sz w:val="24"/>
        </w:rPr>
        <w:t xml:space="preserve">use </w:t>
      </w:r>
      <w:r w:rsidR="00E34A5D" w:rsidRPr="00480E30">
        <w:rPr>
          <w:rFonts w:ascii="Arial" w:hAnsi="Arial" w:cs="Arial"/>
          <w:sz w:val="24"/>
        </w:rPr>
        <w:t xml:space="preserve">of </w:t>
      </w:r>
      <w:r w:rsidR="00DA5CA9" w:rsidRPr="00480E30">
        <w:rPr>
          <w:rFonts w:ascii="Arial" w:hAnsi="Arial" w:cs="Arial"/>
          <w:sz w:val="24"/>
        </w:rPr>
        <w:t xml:space="preserve">high risk processing (such as processing “health data”) </w:t>
      </w:r>
      <w:r w:rsidR="00E34A5D" w:rsidRPr="00480E30">
        <w:rPr>
          <w:rFonts w:ascii="Arial" w:hAnsi="Arial" w:cs="Arial"/>
          <w:sz w:val="24"/>
        </w:rPr>
        <w:t>is introduced</w:t>
      </w:r>
      <w:r w:rsidR="00254BFA" w:rsidRPr="00480E30">
        <w:rPr>
          <w:rFonts w:ascii="Arial" w:hAnsi="Arial" w:cs="Arial"/>
          <w:sz w:val="24"/>
        </w:rPr>
        <w:t>.</w:t>
      </w:r>
      <w:r w:rsidR="00E34A5D" w:rsidRPr="00480E30">
        <w:rPr>
          <w:rFonts w:ascii="Arial" w:hAnsi="Arial" w:cs="Arial"/>
          <w:sz w:val="24"/>
        </w:rPr>
        <w:t xml:space="preserve"> </w:t>
      </w:r>
    </w:p>
    <w:p w14:paraId="255C4038" w14:textId="77777777" w:rsidR="006F607C" w:rsidRDefault="006F607C" w:rsidP="00480E30">
      <w:pPr>
        <w:pStyle w:val="ListParagraph"/>
        <w:rPr>
          <w:rFonts w:ascii="Arial" w:hAnsi="Arial" w:cs="Arial"/>
          <w:sz w:val="24"/>
        </w:rPr>
      </w:pPr>
    </w:p>
    <w:p w14:paraId="5F187710" w14:textId="16A416D4" w:rsidR="00206557" w:rsidRPr="00480E30" w:rsidRDefault="00585C88" w:rsidP="00355B25">
      <w:pPr>
        <w:pStyle w:val="ListParagraph"/>
        <w:numPr>
          <w:ilvl w:val="0"/>
          <w:numId w:val="12"/>
        </w:numPr>
        <w:rPr>
          <w:rFonts w:ascii="Arial" w:hAnsi="Arial" w:cs="Arial"/>
          <w:sz w:val="24"/>
        </w:rPr>
      </w:pPr>
      <w:r>
        <w:rPr>
          <w:rFonts w:ascii="Arial" w:hAnsi="Arial" w:cs="Arial"/>
          <w:sz w:val="24"/>
        </w:rPr>
        <w:t xml:space="preserve">When undertaking a DPIA, an organisation’s designated Data Protection Officer must be consulted. </w:t>
      </w:r>
      <w:r w:rsidR="00E34A5D" w:rsidRPr="00480E30">
        <w:rPr>
          <w:rFonts w:ascii="Arial" w:hAnsi="Arial" w:cs="Arial"/>
          <w:sz w:val="24"/>
        </w:rPr>
        <w:t xml:space="preserve">A DPIA </w:t>
      </w:r>
      <w:r>
        <w:rPr>
          <w:rFonts w:ascii="Arial" w:hAnsi="Arial" w:cs="Arial"/>
          <w:sz w:val="24"/>
        </w:rPr>
        <w:t>should</w:t>
      </w:r>
      <w:r w:rsidR="00E34A5D" w:rsidRPr="00480E30">
        <w:rPr>
          <w:rFonts w:ascii="Arial" w:hAnsi="Arial" w:cs="Arial"/>
          <w:sz w:val="24"/>
        </w:rPr>
        <w:t xml:space="preserve"> be signed off by </w:t>
      </w:r>
      <w:r w:rsidR="00566301">
        <w:rPr>
          <w:rFonts w:ascii="Arial" w:hAnsi="Arial" w:cs="Arial"/>
          <w:sz w:val="24"/>
        </w:rPr>
        <w:lastRenderedPageBreak/>
        <w:t>an organisation’s</w:t>
      </w:r>
      <w:r w:rsidR="00E34A5D" w:rsidRPr="00480E30">
        <w:rPr>
          <w:rFonts w:ascii="Arial" w:hAnsi="Arial" w:cs="Arial"/>
          <w:sz w:val="24"/>
        </w:rPr>
        <w:t xml:space="preserve"> Senior Information Risk Owner</w:t>
      </w:r>
      <w:r w:rsidR="00DA5CA9" w:rsidRPr="00480E30">
        <w:rPr>
          <w:rFonts w:ascii="Arial" w:hAnsi="Arial" w:cs="Arial"/>
          <w:sz w:val="24"/>
        </w:rPr>
        <w:t xml:space="preserve"> (SIRO) and the Data Protection Officer (DPO)</w:t>
      </w:r>
      <w:r w:rsidR="00E34A5D" w:rsidRPr="00480E30">
        <w:rPr>
          <w:rFonts w:ascii="Arial" w:hAnsi="Arial" w:cs="Arial"/>
          <w:sz w:val="24"/>
        </w:rPr>
        <w:t>.</w:t>
      </w:r>
    </w:p>
    <w:p w14:paraId="489C8F08" w14:textId="77777777" w:rsidR="006F607C" w:rsidRDefault="006F607C" w:rsidP="00480E30">
      <w:pPr>
        <w:pStyle w:val="ListParagraph"/>
        <w:rPr>
          <w:rFonts w:ascii="Arial" w:hAnsi="Arial" w:cs="Arial"/>
          <w:sz w:val="24"/>
        </w:rPr>
      </w:pPr>
    </w:p>
    <w:p w14:paraId="3928072A" w14:textId="6C2FCEA7" w:rsidR="00254BFA" w:rsidRPr="00480E30" w:rsidRDefault="00254BFA" w:rsidP="00355B25">
      <w:pPr>
        <w:pStyle w:val="ListParagraph"/>
        <w:numPr>
          <w:ilvl w:val="0"/>
          <w:numId w:val="12"/>
        </w:numPr>
        <w:rPr>
          <w:rFonts w:ascii="Arial" w:hAnsi="Arial" w:cs="Arial"/>
          <w:sz w:val="24"/>
        </w:rPr>
      </w:pPr>
      <w:r w:rsidRPr="00480E30">
        <w:rPr>
          <w:rFonts w:ascii="Arial" w:hAnsi="Arial" w:cs="Arial"/>
          <w:sz w:val="24"/>
        </w:rPr>
        <w:t xml:space="preserve">A DPIA </w:t>
      </w:r>
      <w:r w:rsidR="00E34A5D" w:rsidRPr="00480E30">
        <w:rPr>
          <w:rFonts w:ascii="Arial" w:hAnsi="Arial" w:cs="Arial"/>
          <w:sz w:val="24"/>
        </w:rPr>
        <w:t>has to</w:t>
      </w:r>
      <w:r w:rsidR="00B14F26" w:rsidRPr="00480E30">
        <w:rPr>
          <w:rFonts w:ascii="Arial" w:hAnsi="Arial" w:cs="Arial"/>
          <w:sz w:val="24"/>
        </w:rPr>
        <w:t xml:space="preserve"> </w:t>
      </w:r>
      <w:r w:rsidRPr="00480E30">
        <w:rPr>
          <w:rFonts w:ascii="Arial" w:hAnsi="Arial" w:cs="Arial"/>
          <w:sz w:val="24"/>
        </w:rPr>
        <w:t xml:space="preserve">be completed before any new process, system or way of working </w:t>
      </w:r>
      <w:r w:rsidR="00585C88">
        <w:rPr>
          <w:rFonts w:ascii="Arial" w:hAnsi="Arial" w:cs="Arial"/>
          <w:sz w:val="24"/>
        </w:rPr>
        <w:t>goes live</w:t>
      </w:r>
      <w:r w:rsidR="00585C88" w:rsidRPr="00480E30">
        <w:rPr>
          <w:rFonts w:ascii="Arial" w:hAnsi="Arial" w:cs="Arial"/>
          <w:sz w:val="24"/>
        </w:rPr>
        <w:t xml:space="preserve"> </w:t>
      </w:r>
      <w:r w:rsidRPr="00480E30">
        <w:rPr>
          <w:rFonts w:ascii="Arial" w:hAnsi="Arial" w:cs="Arial"/>
          <w:sz w:val="24"/>
        </w:rPr>
        <w:t>(</w:t>
      </w:r>
      <w:r w:rsidR="00E34A5D" w:rsidRPr="00480E30">
        <w:rPr>
          <w:rFonts w:ascii="Arial" w:hAnsi="Arial" w:cs="Arial"/>
          <w:sz w:val="24"/>
        </w:rPr>
        <w:t>i.e.</w:t>
      </w:r>
      <w:r w:rsidRPr="00480E30">
        <w:rPr>
          <w:rFonts w:ascii="Arial" w:hAnsi="Arial" w:cs="Arial"/>
          <w:sz w:val="24"/>
        </w:rPr>
        <w:t xml:space="preserve"> at the busine</w:t>
      </w:r>
      <w:r w:rsidR="00566301">
        <w:rPr>
          <w:rFonts w:ascii="Arial" w:hAnsi="Arial" w:cs="Arial"/>
          <w:sz w:val="24"/>
        </w:rPr>
        <w:t>ss planning stage of a project) where it involves high risk processing.</w:t>
      </w:r>
    </w:p>
    <w:p w14:paraId="4FA7A741" w14:textId="77777777" w:rsidR="006F607C" w:rsidRDefault="006F607C" w:rsidP="00480E30">
      <w:pPr>
        <w:pStyle w:val="ListParagraph"/>
        <w:rPr>
          <w:rFonts w:ascii="Arial" w:hAnsi="Arial" w:cs="Arial"/>
          <w:sz w:val="24"/>
        </w:rPr>
      </w:pPr>
    </w:p>
    <w:p w14:paraId="6DC85003" w14:textId="1B0288FD" w:rsidR="00254BFA" w:rsidRPr="00480E30" w:rsidRDefault="00585C88" w:rsidP="00355B25">
      <w:pPr>
        <w:pStyle w:val="ListParagraph"/>
        <w:numPr>
          <w:ilvl w:val="0"/>
          <w:numId w:val="12"/>
        </w:numPr>
        <w:rPr>
          <w:rFonts w:ascii="Arial" w:hAnsi="Arial" w:cs="Arial"/>
          <w:sz w:val="24"/>
        </w:rPr>
      </w:pPr>
      <w:r>
        <w:rPr>
          <w:rFonts w:ascii="Arial" w:hAnsi="Arial" w:cs="Arial"/>
          <w:sz w:val="24"/>
        </w:rPr>
        <w:t>T</w:t>
      </w:r>
      <w:r w:rsidR="00DC2FB5" w:rsidRPr="00480E30">
        <w:rPr>
          <w:rFonts w:ascii="Arial" w:hAnsi="Arial" w:cs="Arial"/>
          <w:sz w:val="24"/>
        </w:rPr>
        <w:t xml:space="preserve">he </w:t>
      </w:r>
      <w:r w:rsidR="00254BFA" w:rsidRPr="00480E30">
        <w:rPr>
          <w:rFonts w:ascii="Arial" w:hAnsi="Arial" w:cs="Arial"/>
          <w:sz w:val="24"/>
        </w:rPr>
        <w:t xml:space="preserve">completion of a DPIA will help to </w:t>
      </w:r>
      <w:r w:rsidR="00DC2FB5" w:rsidRPr="00480E30">
        <w:rPr>
          <w:rFonts w:ascii="Arial" w:hAnsi="Arial" w:cs="Arial"/>
          <w:sz w:val="24"/>
        </w:rPr>
        <w:t>minimise</w:t>
      </w:r>
      <w:r w:rsidR="00254BFA" w:rsidRPr="00480E30">
        <w:rPr>
          <w:rFonts w:ascii="Arial" w:hAnsi="Arial" w:cs="Arial"/>
          <w:sz w:val="24"/>
        </w:rPr>
        <w:t xml:space="preserve"> the </w:t>
      </w:r>
      <w:r w:rsidR="004206DB">
        <w:rPr>
          <w:rFonts w:ascii="Arial" w:hAnsi="Arial" w:cs="Arial"/>
          <w:sz w:val="24"/>
        </w:rPr>
        <w:t>chance</w:t>
      </w:r>
      <w:r w:rsidR="004206DB" w:rsidRPr="00480E30">
        <w:rPr>
          <w:rFonts w:ascii="Arial" w:hAnsi="Arial" w:cs="Arial"/>
          <w:sz w:val="24"/>
        </w:rPr>
        <w:t xml:space="preserve"> </w:t>
      </w:r>
      <w:r w:rsidR="00254BFA" w:rsidRPr="00480E30">
        <w:rPr>
          <w:rFonts w:ascii="Arial" w:hAnsi="Arial" w:cs="Arial"/>
          <w:sz w:val="24"/>
        </w:rPr>
        <w:t xml:space="preserve">that any new process, system or way of working </w:t>
      </w:r>
      <w:r>
        <w:rPr>
          <w:rFonts w:ascii="Arial" w:hAnsi="Arial" w:cs="Arial"/>
          <w:sz w:val="24"/>
        </w:rPr>
        <w:t xml:space="preserve">will present a high risk to the rights of individuals </w:t>
      </w:r>
      <w:r w:rsidR="008A329B">
        <w:rPr>
          <w:rFonts w:ascii="Arial" w:hAnsi="Arial" w:cs="Arial"/>
          <w:sz w:val="24"/>
        </w:rPr>
        <w:t xml:space="preserve">through a failure </w:t>
      </w:r>
      <w:r w:rsidR="00DC2FB5" w:rsidRPr="00480E30">
        <w:rPr>
          <w:rFonts w:ascii="Arial" w:hAnsi="Arial" w:cs="Arial"/>
          <w:sz w:val="24"/>
        </w:rPr>
        <w:t>to comply with</w:t>
      </w:r>
      <w:r w:rsidR="00254BFA" w:rsidRPr="00480E30">
        <w:rPr>
          <w:rFonts w:ascii="Arial" w:hAnsi="Arial" w:cs="Arial"/>
          <w:sz w:val="24"/>
        </w:rPr>
        <w:t xml:space="preserve"> the GDPR</w:t>
      </w:r>
      <w:r w:rsidR="00DA5CA9" w:rsidRPr="00480E30">
        <w:rPr>
          <w:rFonts w:ascii="Arial" w:hAnsi="Arial" w:cs="Arial"/>
          <w:sz w:val="24"/>
        </w:rPr>
        <w:t xml:space="preserve"> (or new DPA)</w:t>
      </w:r>
      <w:r w:rsidR="00254BFA" w:rsidRPr="00480E30">
        <w:rPr>
          <w:rFonts w:ascii="Arial" w:hAnsi="Arial" w:cs="Arial"/>
          <w:sz w:val="24"/>
        </w:rPr>
        <w:t>.</w:t>
      </w:r>
    </w:p>
    <w:p w14:paraId="38B27668" w14:textId="77777777" w:rsidR="006F607C" w:rsidRDefault="006F607C" w:rsidP="006F607C">
      <w:pPr>
        <w:pStyle w:val="ListParagraph"/>
        <w:rPr>
          <w:rFonts w:ascii="Arial" w:hAnsi="Arial" w:cs="Arial"/>
          <w:b/>
          <w:sz w:val="24"/>
        </w:rPr>
      </w:pPr>
    </w:p>
    <w:p w14:paraId="31753C3D"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 xml:space="preserve">What/who is the </w:t>
      </w:r>
      <w:r w:rsidR="00DC2FB5" w:rsidRPr="00480E30">
        <w:rPr>
          <w:rFonts w:ascii="Arial" w:hAnsi="Arial" w:cs="Arial"/>
          <w:b/>
          <w:sz w:val="24"/>
        </w:rPr>
        <w:t>DPO</w:t>
      </w:r>
      <w:r w:rsidRPr="00480E30">
        <w:rPr>
          <w:rFonts w:ascii="Arial" w:hAnsi="Arial" w:cs="Arial"/>
          <w:b/>
          <w:sz w:val="24"/>
        </w:rPr>
        <w:t>?</w:t>
      </w:r>
    </w:p>
    <w:p w14:paraId="7994BC6F" w14:textId="3333D133" w:rsidR="00A14213" w:rsidRPr="00480E30" w:rsidRDefault="003C5689" w:rsidP="00480E30">
      <w:pPr>
        <w:pStyle w:val="ListParagraph"/>
        <w:rPr>
          <w:rFonts w:ascii="Arial" w:hAnsi="Arial" w:cs="Arial"/>
          <w:sz w:val="24"/>
        </w:rPr>
      </w:pPr>
      <w:r w:rsidRPr="00480E30">
        <w:rPr>
          <w:rFonts w:ascii="Arial" w:hAnsi="Arial" w:cs="Arial"/>
          <w:sz w:val="24"/>
        </w:rPr>
        <w:t>The</w:t>
      </w:r>
      <w:r w:rsidR="006624CA" w:rsidRPr="00480E30">
        <w:rPr>
          <w:rFonts w:ascii="Arial" w:hAnsi="Arial" w:cs="Arial"/>
          <w:sz w:val="24"/>
        </w:rPr>
        <w:t xml:space="preserve"> GDPR requires all </w:t>
      </w:r>
      <w:r w:rsidR="009B3ED1" w:rsidRPr="00480E30">
        <w:rPr>
          <w:rFonts w:ascii="Arial" w:hAnsi="Arial" w:cs="Arial"/>
          <w:sz w:val="24"/>
        </w:rPr>
        <w:t>p</w:t>
      </w:r>
      <w:r w:rsidR="006624CA" w:rsidRPr="00480E30">
        <w:rPr>
          <w:rFonts w:ascii="Arial" w:hAnsi="Arial" w:cs="Arial"/>
          <w:sz w:val="24"/>
        </w:rPr>
        <w:t xml:space="preserve">ublic </w:t>
      </w:r>
      <w:r w:rsidR="009B3ED1" w:rsidRPr="00480E30">
        <w:rPr>
          <w:rFonts w:ascii="Arial" w:hAnsi="Arial" w:cs="Arial"/>
          <w:sz w:val="24"/>
        </w:rPr>
        <w:t>a</w:t>
      </w:r>
      <w:r w:rsidR="006624CA" w:rsidRPr="00480E30">
        <w:rPr>
          <w:rFonts w:ascii="Arial" w:hAnsi="Arial" w:cs="Arial"/>
          <w:sz w:val="24"/>
        </w:rPr>
        <w:t xml:space="preserve">uthorities to have </w:t>
      </w:r>
      <w:r w:rsidR="00DC2FB5" w:rsidRPr="00480E30">
        <w:rPr>
          <w:rFonts w:ascii="Arial" w:hAnsi="Arial" w:cs="Arial"/>
          <w:sz w:val="24"/>
        </w:rPr>
        <w:t>a DPO</w:t>
      </w:r>
      <w:r w:rsidR="006624CA" w:rsidRPr="00480E30">
        <w:rPr>
          <w:rFonts w:ascii="Arial" w:hAnsi="Arial" w:cs="Arial"/>
          <w:sz w:val="24"/>
        </w:rPr>
        <w:t xml:space="preserve">. </w:t>
      </w:r>
      <w:r w:rsidR="008A329B">
        <w:rPr>
          <w:rFonts w:ascii="Arial" w:hAnsi="Arial" w:cs="Arial"/>
          <w:sz w:val="24"/>
        </w:rPr>
        <w:t>Their role is to</w:t>
      </w:r>
      <w:r w:rsidR="006624CA" w:rsidRPr="00480E30">
        <w:rPr>
          <w:rFonts w:ascii="Arial" w:hAnsi="Arial" w:cs="Arial"/>
          <w:sz w:val="24"/>
        </w:rPr>
        <w:t xml:space="preserve"> inform and advise </w:t>
      </w:r>
      <w:r w:rsidR="00355B25">
        <w:rPr>
          <w:rFonts w:ascii="Arial" w:hAnsi="Arial" w:cs="Arial"/>
          <w:sz w:val="24"/>
        </w:rPr>
        <w:t xml:space="preserve">their </w:t>
      </w:r>
      <w:r w:rsidR="00355B25" w:rsidRPr="00480E30">
        <w:rPr>
          <w:rFonts w:ascii="Arial" w:hAnsi="Arial" w:cs="Arial"/>
          <w:sz w:val="24"/>
        </w:rPr>
        <w:t>organisation</w:t>
      </w:r>
      <w:r w:rsidR="00A14213" w:rsidRPr="00480E30">
        <w:rPr>
          <w:rFonts w:ascii="Arial" w:hAnsi="Arial" w:cs="Arial"/>
          <w:sz w:val="24"/>
        </w:rPr>
        <w:t>(s)</w:t>
      </w:r>
      <w:r w:rsidR="006624CA" w:rsidRPr="00480E30">
        <w:rPr>
          <w:rFonts w:ascii="Arial" w:hAnsi="Arial" w:cs="Arial"/>
          <w:sz w:val="24"/>
        </w:rPr>
        <w:t xml:space="preserve"> about all issues in relation to GDPR</w:t>
      </w:r>
      <w:r w:rsidR="00585C88">
        <w:rPr>
          <w:rFonts w:ascii="Arial" w:hAnsi="Arial" w:cs="Arial"/>
          <w:sz w:val="24"/>
        </w:rPr>
        <w:t xml:space="preserve"> compliance</w:t>
      </w:r>
      <w:r w:rsidR="006624CA" w:rsidRPr="00480E30">
        <w:rPr>
          <w:rFonts w:ascii="Arial" w:hAnsi="Arial" w:cs="Arial"/>
          <w:sz w:val="24"/>
        </w:rPr>
        <w:t>.</w:t>
      </w:r>
    </w:p>
    <w:p w14:paraId="5A0DEB14" w14:textId="77777777" w:rsidR="006F607C" w:rsidRDefault="006F607C" w:rsidP="00480E30">
      <w:pPr>
        <w:pStyle w:val="ListParagraph"/>
        <w:rPr>
          <w:rFonts w:ascii="Arial" w:hAnsi="Arial" w:cs="Arial"/>
          <w:sz w:val="24"/>
        </w:rPr>
      </w:pPr>
    </w:p>
    <w:p w14:paraId="630048BD" w14:textId="65ED570F" w:rsidR="00A14213" w:rsidRPr="00480E30" w:rsidRDefault="006624CA" w:rsidP="00480E30">
      <w:pPr>
        <w:pStyle w:val="ListParagraph"/>
        <w:rPr>
          <w:rFonts w:ascii="Arial" w:hAnsi="Arial" w:cs="Arial"/>
          <w:sz w:val="24"/>
        </w:rPr>
      </w:pPr>
      <w:r w:rsidRPr="00480E30">
        <w:rPr>
          <w:rFonts w:ascii="Arial" w:hAnsi="Arial" w:cs="Arial"/>
          <w:sz w:val="24"/>
        </w:rPr>
        <w:t xml:space="preserve">The DPO will also be responsible for monitoring </w:t>
      </w:r>
      <w:r w:rsidR="00A14213" w:rsidRPr="00480E30">
        <w:rPr>
          <w:rFonts w:ascii="Arial" w:hAnsi="Arial" w:cs="Arial"/>
          <w:sz w:val="24"/>
        </w:rPr>
        <w:t>the organisation(s)</w:t>
      </w:r>
      <w:r w:rsidR="00DC2FB5" w:rsidRPr="00480E30">
        <w:rPr>
          <w:rFonts w:ascii="Arial" w:hAnsi="Arial" w:cs="Arial"/>
          <w:sz w:val="24"/>
        </w:rPr>
        <w:t xml:space="preserve"> </w:t>
      </w:r>
      <w:r w:rsidR="007D44FB">
        <w:rPr>
          <w:rFonts w:ascii="Arial" w:hAnsi="Arial" w:cs="Arial"/>
          <w:sz w:val="24"/>
        </w:rPr>
        <w:t>compliance with</w:t>
      </w:r>
      <w:r w:rsidRPr="00480E30">
        <w:rPr>
          <w:rFonts w:ascii="Arial" w:hAnsi="Arial" w:cs="Arial"/>
          <w:sz w:val="24"/>
        </w:rPr>
        <w:t xml:space="preserve"> the GDPR. </w:t>
      </w:r>
    </w:p>
    <w:p w14:paraId="1CF358C6" w14:textId="77777777" w:rsidR="006F607C" w:rsidRDefault="006F607C" w:rsidP="00480E30">
      <w:pPr>
        <w:pStyle w:val="ListParagraph"/>
        <w:rPr>
          <w:rFonts w:ascii="Arial" w:hAnsi="Arial" w:cs="Arial"/>
          <w:sz w:val="24"/>
        </w:rPr>
      </w:pPr>
    </w:p>
    <w:p w14:paraId="3EA15CCD" w14:textId="77777777" w:rsidR="00566301" w:rsidRPr="00636FA7" w:rsidRDefault="00566301" w:rsidP="00636FA7">
      <w:pPr>
        <w:pStyle w:val="ListParagraph"/>
        <w:rPr>
          <w:rFonts w:ascii="Arial" w:hAnsi="Arial" w:cs="Arial"/>
          <w:sz w:val="24"/>
        </w:rPr>
      </w:pPr>
      <w:r w:rsidRPr="00636FA7">
        <w:rPr>
          <w:rFonts w:ascii="Arial" w:hAnsi="Arial" w:cs="Arial"/>
          <w:sz w:val="24"/>
        </w:rPr>
        <w:t>It is important to note that data processors that process personal data on behalf of health or social care organisations must appoint a DPO where they either:</w:t>
      </w:r>
    </w:p>
    <w:p w14:paraId="4F71F924" w14:textId="77777777" w:rsidR="00566301" w:rsidRPr="00FF7CB2" w:rsidRDefault="00566301" w:rsidP="00566301">
      <w:pPr>
        <w:pStyle w:val="ListParagraph"/>
        <w:rPr>
          <w:rFonts w:cs="Arial"/>
          <w:szCs w:val="24"/>
        </w:rPr>
      </w:pPr>
    </w:p>
    <w:p w14:paraId="626FBDA8" w14:textId="77777777" w:rsidR="00566301" w:rsidRPr="00636FA7" w:rsidRDefault="00566301" w:rsidP="00566301">
      <w:pPr>
        <w:pStyle w:val="ListParagraph"/>
        <w:numPr>
          <w:ilvl w:val="1"/>
          <w:numId w:val="7"/>
        </w:numPr>
        <w:rPr>
          <w:rFonts w:ascii="Arial" w:hAnsi="Arial" w:cs="Arial"/>
          <w:sz w:val="24"/>
          <w:szCs w:val="24"/>
        </w:rPr>
      </w:pPr>
      <w:r w:rsidRPr="00636FA7">
        <w:rPr>
          <w:rFonts w:ascii="Arial" w:hAnsi="Arial" w:cs="Arial"/>
          <w:sz w:val="24"/>
          <w:szCs w:val="24"/>
        </w:rPr>
        <w:t>process special categories data on a large scale OR</w:t>
      </w:r>
    </w:p>
    <w:p w14:paraId="73CBBF3A" w14:textId="77777777" w:rsidR="00566301" w:rsidRPr="00636FA7" w:rsidRDefault="00566301" w:rsidP="00566301">
      <w:pPr>
        <w:pStyle w:val="ListParagraph"/>
        <w:numPr>
          <w:ilvl w:val="1"/>
          <w:numId w:val="7"/>
        </w:numPr>
        <w:rPr>
          <w:rFonts w:ascii="Arial" w:hAnsi="Arial" w:cs="Arial"/>
          <w:sz w:val="24"/>
          <w:szCs w:val="24"/>
        </w:rPr>
      </w:pPr>
      <w:r w:rsidRPr="00636FA7">
        <w:rPr>
          <w:rFonts w:ascii="Arial" w:hAnsi="Arial" w:cs="Arial"/>
          <w:sz w:val="24"/>
          <w:szCs w:val="24"/>
        </w:rPr>
        <w:t>perform regular or systematic monitoring of data subjects</w:t>
      </w:r>
    </w:p>
    <w:p w14:paraId="6A74152B" w14:textId="77777777" w:rsidR="00566301" w:rsidRPr="00636FA7" w:rsidRDefault="00566301" w:rsidP="00480E30">
      <w:pPr>
        <w:pStyle w:val="ListParagraph"/>
        <w:rPr>
          <w:rFonts w:ascii="Arial" w:hAnsi="Arial" w:cs="Arial"/>
          <w:sz w:val="24"/>
          <w:szCs w:val="24"/>
        </w:rPr>
      </w:pPr>
    </w:p>
    <w:p w14:paraId="13178B08" w14:textId="16FDBE3B" w:rsidR="007D44FB" w:rsidRDefault="006624CA" w:rsidP="00566301">
      <w:pPr>
        <w:pStyle w:val="ListParagraph"/>
        <w:rPr>
          <w:rFonts w:ascii="Arial" w:hAnsi="Arial" w:cs="Arial"/>
          <w:sz w:val="24"/>
        </w:rPr>
      </w:pPr>
      <w:r w:rsidRPr="00636FA7">
        <w:rPr>
          <w:rFonts w:ascii="Arial" w:hAnsi="Arial" w:cs="Arial"/>
          <w:sz w:val="24"/>
          <w:szCs w:val="24"/>
        </w:rPr>
        <w:t xml:space="preserve">The </w:t>
      </w:r>
      <w:r w:rsidR="00355B25" w:rsidRPr="00636FA7">
        <w:rPr>
          <w:rFonts w:ascii="Arial" w:hAnsi="Arial" w:cs="Arial"/>
          <w:sz w:val="24"/>
          <w:szCs w:val="24"/>
        </w:rPr>
        <w:t xml:space="preserve">DPO </w:t>
      </w:r>
      <w:r w:rsidR="00355B25">
        <w:rPr>
          <w:rFonts w:ascii="Arial" w:hAnsi="Arial" w:cs="Arial"/>
          <w:sz w:val="24"/>
          <w:szCs w:val="24"/>
        </w:rPr>
        <w:t>reports</w:t>
      </w:r>
      <w:r w:rsidRPr="00480E30">
        <w:rPr>
          <w:rFonts w:ascii="Arial" w:hAnsi="Arial" w:cs="Arial"/>
          <w:sz w:val="24"/>
        </w:rPr>
        <w:t xml:space="preserve"> directly to </w:t>
      </w:r>
      <w:r w:rsidR="007D44FB">
        <w:rPr>
          <w:rFonts w:ascii="Arial" w:hAnsi="Arial" w:cs="Arial"/>
          <w:sz w:val="24"/>
        </w:rPr>
        <w:t>an organisation’s</w:t>
      </w:r>
      <w:r w:rsidR="007D44FB" w:rsidRPr="00480E30">
        <w:rPr>
          <w:rFonts w:ascii="Arial" w:hAnsi="Arial" w:cs="Arial"/>
          <w:sz w:val="24"/>
        </w:rPr>
        <w:t xml:space="preserve"> </w:t>
      </w:r>
      <w:r w:rsidR="007D44FB">
        <w:rPr>
          <w:rFonts w:ascii="Arial" w:hAnsi="Arial" w:cs="Arial"/>
          <w:sz w:val="24"/>
        </w:rPr>
        <w:t>highest management level and may not be disciplined or dismissed for carrying out their tasks as a DPO</w:t>
      </w:r>
      <w:r w:rsidRPr="00480E30">
        <w:rPr>
          <w:rFonts w:ascii="Arial" w:hAnsi="Arial" w:cs="Arial"/>
          <w:sz w:val="24"/>
        </w:rPr>
        <w:t xml:space="preserve">. </w:t>
      </w:r>
    </w:p>
    <w:p w14:paraId="025D11A1" w14:textId="51826989" w:rsidR="006624CA" w:rsidRDefault="00A14213" w:rsidP="00566301">
      <w:pPr>
        <w:pStyle w:val="ListParagraph"/>
        <w:rPr>
          <w:rFonts w:ascii="Arial" w:hAnsi="Arial" w:cs="Arial"/>
          <w:sz w:val="24"/>
        </w:rPr>
      </w:pPr>
      <w:r w:rsidRPr="00480E30">
        <w:rPr>
          <w:rFonts w:ascii="Arial" w:hAnsi="Arial" w:cs="Arial"/>
          <w:sz w:val="24"/>
        </w:rPr>
        <w:t>It is envisaged that</w:t>
      </w:r>
      <w:r w:rsidR="009B3ED1" w:rsidRPr="00480E30">
        <w:rPr>
          <w:rFonts w:ascii="Arial" w:hAnsi="Arial" w:cs="Arial"/>
          <w:sz w:val="24"/>
        </w:rPr>
        <w:t xml:space="preserve"> the DPO </w:t>
      </w:r>
      <w:r w:rsidR="006624CA" w:rsidRPr="00480E30">
        <w:rPr>
          <w:rFonts w:ascii="Arial" w:hAnsi="Arial" w:cs="Arial"/>
          <w:sz w:val="24"/>
        </w:rPr>
        <w:t xml:space="preserve">will be supported by </w:t>
      </w:r>
      <w:r w:rsidRPr="00480E30">
        <w:rPr>
          <w:rFonts w:ascii="Arial" w:hAnsi="Arial" w:cs="Arial"/>
          <w:sz w:val="24"/>
        </w:rPr>
        <w:t>the organisation</w:t>
      </w:r>
      <w:r w:rsidR="006F607C">
        <w:rPr>
          <w:rFonts w:ascii="Arial" w:hAnsi="Arial" w:cs="Arial"/>
          <w:sz w:val="24"/>
        </w:rPr>
        <w:t>’</w:t>
      </w:r>
      <w:r w:rsidRPr="00480E30">
        <w:rPr>
          <w:rFonts w:ascii="Arial" w:hAnsi="Arial" w:cs="Arial"/>
          <w:sz w:val="24"/>
        </w:rPr>
        <w:t>s Information Governance (IG)</w:t>
      </w:r>
      <w:r w:rsidR="006624CA" w:rsidRPr="00480E30">
        <w:rPr>
          <w:rFonts w:ascii="Arial" w:hAnsi="Arial" w:cs="Arial"/>
          <w:sz w:val="24"/>
        </w:rPr>
        <w:t xml:space="preserve"> </w:t>
      </w:r>
      <w:r w:rsidR="009B3ED1" w:rsidRPr="00480E30">
        <w:rPr>
          <w:rFonts w:ascii="Arial" w:hAnsi="Arial" w:cs="Arial"/>
          <w:sz w:val="24"/>
        </w:rPr>
        <w:t>and</w:t>
      </w:r>
      <w:r w:rsidRPr="00480E30">
        <w:rPr>
          <w:rFonts w:ascii="Arial" w:hAnsi="Arial" w:cs="Arial"/>
          <w:sz w:val="24"/>
        </w:rPr>
        <w:t>/or</w:t>
      </w:r>
      <w:r w:rsidR="009B3ED1" w:rsidRPr="00480E30">
        <w:rPr>
          <w:rFonts w:ascii="Arial" w:hAnsi="Arial" w:cs="Arial"/>
          <w:sz w:val="24"/>
        </w:rPr>
        <w:t xml:space="preserve"> I</w:t>
      </w:r>
      <w:r w:rsidRPr="00480E30">
        <w:rPr>
          <w:rFonts w:ascii="Arial" w:hAnsi="Arial" w:cs="Arial"/>
          <w:sz w:val="24"/>
        </w:rPr>
        <w:t>nformation Communication Team (ICT)</w:t>
      </w:r>
      <w:r w:rsidR="009B3ED1" w:rsidRPr="00480E30">
        <w:rPr>
          <w:rFonts w:ascii="Arial" w:hAnsi="Arial" w:cs="Arial"/>
          <w:sz w:val="24"/>
        </w:rPr>
        <w:t>.</w:t>
      </w:r>
    </w:p>
    <w:p w14:paraId="4779FC65" w14:textId="77777777" w:rsidR="00566301" w:rsidRDefault="00566301" w:rsidP="00566301">
      <w:pPr>
        <w:pStyle w:val="ListParagraph"/>
        <w:rPr>
          <w:rFonts w:ascii="Arial" w:hAnsi="Arial" w:cs="Arial"/>
          <w:sz w:val="24"/>
        </w:rPr>
      </w:pPr>
    </w:p>
    <w:p w14:paraId="2DD47D4C" w14:textId="77777777" w:rsidR="00566301" w:rsidRPr="00566301" w:rsidRDefault="00566301" w:rsidP="00566301">
      <w:pPr>
        <w:pStyle w:val="ListParagraph"/>
        <w:numPr>
          <w:ilvl w:val="0"/>
          <w:numId w:val="5"/>
        </w:numPr>
        <w:rPr>
          <w:rFonts w:ascii="Arial" w:hAnsi="Arial" w:cs="Arial"/>
          <w:b/>
          <w:sz w:val="24"/>
        </w:rPr>
      </w:pPr>
      <w:r w:rsidRPr="00566301">
        <w:rPr>
          <w:rFonts w:ascii="Arial" w:hAnsi="Arial" w:cs="Arial"/>
          <w:b/>
          <w:sz w:val="24"/>
        </w:rPr>
        <w:t>Who can be a DPO?</w:t>
      </w:r>
    </w:p>
    <w:p w14:paraId="4BD7857B" w14:textId="1F778F6A" w:rsidR="005836B9" w:rsidRDefault="00566301" w:rsidP="005836B9">
      <w:pPr>
        <w:pStyle w:val="ListParagraph"/>
        <w:rPr>
          <w:rFonts w:ascii="Arial" w:hAnsi="Arial" w:cs="Arial"/>
          <w:sz w:val="24"/>
        </w:rPr>
      </w:pPr>
      <w:r w:rsidRPr="00566301">
        <w:rPr>
          <w:rFonts w:ascii="Arial" w:hAnsi="Arial" w:cs="Arial"/>
          <w:sz w:val="24"/>
        </w:rPr>
        <w:t>Organisations must ensure that the DPO role is independent, free from conflict of interest</w:t>
      </w:r>
      <w:r w:rsidR="005836B9">
        <w:rPr>
          <w:rFonts w:ascii="Arial" w:hAnsi="Arial" w:cs="Arial"/>
          <w:sz w:val="24"/>
        </w:rPr>
        <w:t xml:space="preserve">. </w:t>
      </w:r>
      <w:r w:rsidR="005836B9" w:rsidRPr="005836B9">
        <w:rPr>
          <w:rFonts w:ascii="Arial" w:hAnsi="Arial" w:cs="Arial"/>
          <w:sz w:val="24"/>
        </w:rPr>
        <w:t>DPOs may be shared by multiple organisations that are ‘public authorities’ taking into account organisational structure and size, and may be either a member of staff or may fulfil the tasks on the basis of a service contract, provided there is no conflict of interest. A DPO team with a nominated contact for each organisation is an acceptable approach.</w:t>
      </w:r>
    </w:p>
    <w:p w14:paraId="2628945B" w14:textId="77777777" w:rsidR="005836B9" w:rsidRDefault="005836B9" w:rsidP="005836B9">
      <w:pPr>
        <w:pStyle w:val="ListParagraph"/>
        <w:rPr>
          <w:rFonts w:ascii="Arial" w:hAnsi="Arial" w:cs="Arial"/>
          <w:sz w:val="24"/>
        </w:rPr>
      </w:pPr>
    </w:p>
    <w:p w14:paraId="7DD02446" w14:textId="5E081300" w:rsidR="005836B9" w:rsidRDefault="005836B9" w:rsidP="005836B9">
      <w:pPr>
        <w:pStyle w:val="ListParagraph"/>
        <w:rPr>
          <w:rFonts w:ascii="Arial" w:hAnsi="Arial" w:cs="Arial"/>
          <w:sz w:val="24"/>
        </w:rPr>
      </w:pPr>
      <w:r>
        <w:rPr>
          <w:rFonts w:ascii="Arial" w:hAnsi="Arial" w:cs="Arial"/>
          <w:sz w:val="24"/>
        </w:rPr>
        <w:t>T</w:t>
      </w:r>
      <w:r w:rsidR="00566301" w:rsidRPr="00566301">
        <w:rPr>
          <w:rFonts w:ascii="Arial" w:hAnsi="Arial" w:cs="Arial"/>
          <w:sz w:val="24"/>
        </w:rPr>
        <w:t>here are specific roles that the DPO cannot perform in conjunction with this new role</w:t>
      </w:r>
      <w:r w:rsidR="007D44FB">
        <w:rPr>
          <w:rFonts w:ascii="Arial" w:hAnsi="Arial" w:cs="Arial"/>
          <w:sz w:val="24"/>
        </w:rPr>
        <w:t>. As a result</w:t>
      </w:r>
      <w:r>
        <w:rPr>
          <w:rFonts w:ascii="Arial" w:hAnsi="Arial" w:cs="Arial"/>
          <w:sz w:val="24"/>
        </w:rPr>
        <w:t xml:space="preserve"> it is </w:t>
      </w:r>
      <w:r w:rsidR="00566301" w:rsidRPr="005836B9">
        <w:rPr>
          <w:rFonts w:ascii="Arial" w:hAnsi="Arial" w:cs="Arial"/>
          <w:sz w:val="24"/>
        </w:rPr>
        <w:t xml:space="preserve">important to consider </w:t>
      </w:r>
      <w:hyperlink r:id="rId10" w:history="1">
        <w:r w:rsidR="00566301" w:rsidRPr="005836B9">
          <w:rPr>
            <w:rStyle w:val="Hyperlink"/>
            <w:rFonts w:ascii="Arial" w:hAnsi="Arial" w:cs="Arial"/>
            <w:sz w:val="24"/>
          </w:rPr>
          <w:t>EU Guidelines</w:t>
        </w:r>
      </w:hyperlink>
      <w:r w:rsidR="00566301" w:rsidRPr="005836B9">
        <w:rPr>
          <w:rFonts w:ascii="Arial" w:hAnsi="Arial" w:cs="Arial"/>
          <w:sz w:val="24"/>
        </w:rPr>
        <w:t xml:space="preserve"> that</w:t>
      </w:r>
      <w:r>
        <w:rPr>
          <w:rFonts w:ascii="Arial" w:hAnsi="Arial" w:cs="Arial"/>
          <w:sz w:val="24"/>
        </w:rPr>
        <w:t xml:space="preserve"> state:-</w:t>
      </w:r>
    </w:p>
    <w:p w14:paraId="350C7AA1" w14:textId="77777777" w:rsidR="005836B9" w:rsidRDefault="005836B9" w:rsidP="005836B9">
      <w:pPr>
        <w:pStyle w:val="ListParagraph"/>
        <w:rPr>
          <w:rFonts w:ascii="Arial" w:hAnsi="Arial" w:cs="Arial"/>
          <w:sz w:val="24"/>
        </w:rPr>
      </w:pPr>
    </w:p>
    <w:p w14:paraId="3AC94D3A" w14:textId="77777777" w:rsidR="00566301" w:rsidRPr="005836B9" w:rsidRDefault="00566301" w:rsidP="005836B9">
      <w:pPr>
        <w:pStyle w:val="ListParagraph"/>
        <w:rPr>
          <w:rFonts w:ascii="Arial" w:hAnsi="Arial" w:cs="Arial"/>
          <w:i/>
          <w:sz w:val="24"/>
        </w:rPr>
      </w:pPr>
      <w:r w:rsidRPr="005836B9">
        <w:rPr>
          <w:rFonts w:ascii="Arial" w:hAnsi="Arial" w:cs="Arial"/>
          <w:i/>
          <w:sz w:val="24"/>
        </w:rPr>
        <w:lastRenderedPageBreak/>
        <w:t>‘[t]he DPO cannot hold a position within the organisation that leads him or her to determine the purposes and the means of the processing of personal data. Due to the specific organisational structure in each organisation, this has to be considered case by case’</w:t>
      </w:r>
    </w:p>
    <w:p w14:paraId="57A482A2" w14:textId="77777777" w:rsidR="00566301" w:rsidRPr="005836B9" w:rsidRDefault="00566301" w:rsidP="005836B9">
      <w:pPr>
        <w:ind w:firstLine="720"/>
        <w:rPr>
          <w:rFonts w:ascii="Arial" w:hAnsi="Arial" w:cs="Arial"/>
          <w:sz w:val="24"/>
        </w:rPr>
      </w:pPr>
      <w:r w:rsidRPr="005836B9">
        <w:rPr>
          <w:rFonts w:ascii="Arial" w:hAnsi="Arial" w:cs="Arial"/>
          <w:sz w:val="24"/>
        </w:rPr>
        <w:t>and further:</w:t>
      </w:r>
    </w:p>
    <w:p w14:paraId="5D347583" w14:textId="77777777" w:rsidR="00566301" w:rsidRPr="005836B9" w:rsidRDefault="00566301" w:rsidP="005836B9">
      <w:pPr>
        <w:ind w:left="720"/>
        <w:rPr>
          <w:rFonts w:ascii="Arial" w:hAnsi="Arial" w:cs="Arial"/>
          <w:i/>
          <w:sz w:val="24"/>
        </w:rPr>
      </w:pPr>
      <w:r w:rsidRPr="005836B9">
        <w:rPr>
          <w:rFonts w:ascii="Arial" w:hAnsi="Arial" w:cs="Arial"/>
          <w:i/>
          <w:sz w:val="24"/>
        </w:rPr>
        <w:t>‘As a rule of thumb, conflicting positions may include senior management positions (such as chief executive, chief operating, chief financial, chief medical officer, head of marketing department, head of Human Resources or head of IT departments) but also other roles lower down in the organisational structure if such positions or roles lead to the determination of purposes and means of processing’</w:t>
      </w:r>
    </w:p>
    <w:p w14:paraId="408D1BAD"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How can I prepare for GDPR?</w:t>
      </w:r>
    </w:p>
    <w:p w14:paraId="006B83B5" w14:textId="3BAE5BC8" w:rsidR="00A14213" w:rsidRPr="00480E30" w:rsidRDefault="00A14213" w:rsidP="00480E30">
      <w:pPr>
        <w:pStyle w:val="ListParagraph"/>
        <w:rPr>
          <w:rFonts w:ascii="Arial" w:hAnsi="Arial" w:cs="Arial"/>
          <w:sz w:val="24"/>
        </w:rPr>
      </w:pPr>
      <w:r w:rsidRPr="00480E30">
        <w:rPr>
          <w:rFonts w:ascii="Arial" w:hAnsi="Arial" w:cs="Arial"/>
          <w:sz w:val="24"/>
        </w:rPr>
        <w:t xml:space="preserve">The </w:t>
      </w:r>
      <w:hyperlink r:id="rId11" w:history="1">
        <w:r w:rsidR="005836B9" w:rsidRPr="005836B9">
          <w:rPr>
            <w:rStyle w:val="Hyperlink"/>
            <w:rFonts w:ascii="Arial" w:hAnsi="Arial" w:cs="Arial"/>
            <w:sz w:val="24"/>
          </w:rPr>
          <w:t>ICO</w:t>
        </w:r>
      </w:hyperlink>
      <w:r w:rsidRPr="00480E30">
        <w:rPr>
          <w:rFonts w:ascii="Arial" w:hAnsi="Arial" w:cs="Arial"/>
          <w:sz w:val="24"/>
        </w:rPr>
        <w:t xml:space="preserve"> </w:t>
      </w:r>
      <w:r w:rsidR="005836B9">
        <w:rPr>
          <w:rFonts w:ascii="Arial" w:hAnsi="Arial" w:cs="Arial"/>
          <w:sz w:val="24"/>
        </w:rPr>
        <w:t>have published and will continue to</w:t>
      </w:r>
      <w:r w:rsidRPr="00480E30">
        <w:rPr>
          <w:rFonts w:ascii="Arial" w:hAnsi="Arial" w:cs="Arial"/>
          <w:sz w:val="24"/>
        </w:rPr>
        <w:t xml:space="preserve"> publish guidance to assist organisations in understandi</w:t>
      </w:r>
      <w:r w:rsidR="005836B9">
        <w:rPr>
          <w:rFonts w:ascii="Arial" w:hAnsi="Arial" w:cs="Arial"/>
          <w:sz w:val="24"/>
        </w:rPr>
        <w:t xml:space="preserve">ng how to comply with data protection reform (i.e. GDPR and </w:t>
      </w:r>
      <w:r w:rsidR="004B36C7">
        <w:rPr>
          <w:rFonts w:ascii="Arial" w:hAnsi="Arial" w:cs="Arial"/>
          <w:sz w:val="24"/>
        </w:rPr>
        <w:t xml:space="preserve">thee new </w:t>
      </w:r>
      <w:r w:rsidR="005836B9">
        <w:rPr>
          <w:rFonts w:ascii="Arial" w:hAnsi="Arial" w:cs="Arial"/>
          <w:sz w:val="24"/>
        </w:rPr>
        <w:t>DPA</w:t>
      </w:r>
      <w:r w:rsidRPr="00480E30">
        <w:rPr>
          <w:rFonts w:ascii="Arial" w:hAnsi="Arial" w:cs="Arial"/>
          <w:sz w:val="24"/>
        </w:rPr>
        <w:t xml:space="preserve">). The </w:t>
      </w:r>
      <w:hyperlink r:id="rId12" w:history="1">
        <w:r w:rsidRPr="00480E30">
          <w:rPr>
            <w:rStyle w:val="Hyperlink"/>
            <w:rFonts w:ascii="Arial" w:hAnsi="Arial" w:cs="Arial"/>
            <w:sz w:val="24"/>
          </w:rPr>
          <w:t>Information Governance Alliance (IGA)</w:t>
        </w:r>
      </w:hyperlink>
      <w:r w:rsidRPr="00480E30">
        <w:rPr>
          <w:rFonts w:ascii="Arial" w:hAnsi="Arial" w:cs="Arial"/>
          <w:sz w:val="24"/>
        </w:rPr>
        <w:t xml:space="preserve"> will also publish GDPR guidance for the health and social care system to support that published by the ICO. </w:t>
      </w:r>
    </w:p>
    <w:p w14:paraId="37A871A6" w14:textId="77777777" w:rsidR="00480E30" w:rsidRDefault="00480E30" w:rsidP="00480E30">
      <w:pPr>
        <w:pStyle w:val="ListParagraph"/>
        <w:rPr>
          <w:rFonts w:ascii="Arial" w:hAnsi="Arial" w:cs="Arial"/>
          <w:sz w:val="24"/>
        </w:rPr>
      </w:pPr>
    </w:p>
    <w:p w14:paraId="541CBE4D" w14:textId="77777777" w:rsidR="006624CA" w:rsidRPr="00480E30" w:rsidRDefault="009E6460" w:rsidP="00480E30">
      <w:pPr>
        <w:pStyle w:val="ListParagraph"/>
        <w:rPr>
          <w:rFonts w:ascii="Arial" w:hAnsi="Arial" w:cs="Arial"/>
          <w:sz w:val="24"/>
        </w:rPr>
      </w:pPr>
      <w:r w:rsidRPr="00480E30">
        <w:rPr>
          <w:rFonts w:ascii="Arial" w:hAnsi="Arial" w:cs="Arial"/>
          <w:sz w:val="24"/>
        </w:rPr>
        <w:t>Please</w:t>
      </w:r>
      <w:r w:rsidR="00A14213" w:rsidRPr="00480E30">
        <w:rPr>
          <w:rFonts w:ascii="Arial" w:hAnsi="Arial" w:cs="Arial"/>
          <w:sz w:val="24"/>
        </w:rPr>
        <w:t xml:space="preserve"> monitor these websites or sign up to their newsletters.</w:t>
      </w:r>
      <w:r w:rsidRPr="00480E30">
        <w:rPr>
          <w:rFonts w:ascii="Arial" w:hAnsi="Arial" w:cs="Arial"/>
          <w:sz w:val="24"/>
        </w:rPr>
        <w:t xml:space="preserve"> </w:t>
      </w:r>
    </w:p>
    <w:p w14:paraId="6DBD82D6" w14:textId="77777777" w:rsidR="006F607C" w:rsidRDefault="006F607C" w:rsidP="006F607C">
      <w:pPr>
        <w:pStyle w:val="ListParagraph"/>
        <w:rPr>
          <w:rFonts w:ascii="Arial" w:hAnsi="Arial" w:cs="Arial"/>
          <w:b/>
          <w:sz w:val="24"/>
        </w:rPr>
      </w:pPr>
    </w:p>
    <w:p w14:paraId="1A51370B" w14:textId="77777777" w:rsidR="005836B9" w:rsidRDefault="005836B9" w:rsidP="00480E30">
      <w:pPr>
        <w:pStyle w:val="ListParagraph"/>
        <w:numPr>
          <w:ilvl w:val="0"/>
          <w:numId w:val="5"/>
        </w:numPr>
        <w:rPr>
          <w:rFonts w:ascii="Arial" w:hAnsi="Arial" w:cs="Arial"/>
          <w:b/>
          <w:sz w:val="24"/>
        </w:rPr>
      </w:pPr>
      <w:r>
        <w:rPr>
          <w:rFonts w:ascii="Arial" w:hAnsi="Arial" w:cs="Arial"/>
          <w:b/>
          <w:sz w:val="24"/>
        </w:rPr>
        <w:t>What guidance does the ICO intend to publish</w:t>
      </w:r>
    </w:p>
    <w:p w14:paraId="38B958AB" w14:textId="2B03DEF3" w:rsidR="005836B9" w:rsidRPr="005836B9" w:rsidRDefault="005836B9" w:rsidP="005836B9">
      <w:pPr>
        <w:pStyle w:val="ListParagraph"/>
        <w:rPr>
          <w:rFonts w:ascii="Arial" w:hAnsi="Arial" w:cs="Arial"/>
          <w:sz w:val="24"/>
        </w:rPr>
      </w:pPr>
      <w:r w:rsidRPr="005836B9">
        <w:rPr>
          <w:rFonts w:ascii="Arial" w:hAnsi="Arial" w:cs="Arial"/>
          <w:sz w:val="24"/>
        </w:rPr>
        <w:t xml:space="preserve">The </w:t>
      </w:r>
      <w:hyperlink r:id="rId13" w:history="1">
        <w:r w:rsidRPr="005836B9">
          <w:rPr>
            <w:rStyle w:val="Hyperlink"/>
            <w:rFonts w:ascii="Arial" w:hAnsi="Arial" w:cs="Arial"/>
            <w:sz w:val="24"/>
          </w:rPr>
          <w:t>ICO</w:t>
        </w:r>
      </w:hyperlink>
      <w:r w:rsidRPr="005836B9">
        <w:rPr>
          <w:rFonts w:ascii="Arial" w:hAnsi="Arial" w:cs="Arial"/>
          <w:sz w:val="24"/>
        </w:rPr>
        <w:t xml:space="preserve"> has already started to publish useful information and will continue to do so. </w:t>
      </w:r>
    </w:p>
    <w:p w14:paraId="398B7063" w14:textId="77777777" w:rsidR="005836B9" w:rsidRDefault="005836B9" w:rsidP="005836B9">
      <w:pPr>
        <w:pStyle w:val="ListParagraph"/>
        <w:rPr>
          <w:rFonts w:ascii="Arial" w:hAnsi="Arial" w:cs="Arial"/>
          <w:b/>
          <w:sz w:val="24"/>
        </w:rPr>
      </w:pPr>
    </w:p>
    <w:p w14:paraId="35635EC1" w14:textId="77777777" w:rsidR="00A14213" w:rsidRPr="00480E30" w:rsidRDefault="00A14213" w:rsidP="00480E30">
      <w:pPr>
        <w:pStyle w:val="ListParagraph"/>
        <w:numPr>
          <w:ilvl w:val="0"/>
          <w:numId w:val="5"/>
        </w:numPr>
        <w:rPr>
          <w:rFonts w:ascii="Arial" w:hAnsi="Arial" w:cs="Arial"/>
          <w:b/>
          <w:sz w:val="24"/>
        </w:rPr>
      </w:pPr>
      <w:r w:rsidRPr="00480E30">
        <w:rPr>
          <w:rFonts w:ascii="Arial" w:hAnsi="Arial" w:cs="Arial"/>
          <w:b/>
          <w:sz w:val="24"/>
        </w:rPr>
        <w:t>What guidance does the IGA intend to publish</w:t>
      </w:r>
      <w:r w:rsidR="002F0412" w:rsidRPr="00480E30">
        <w:rPr>
          <w:rFonts w:ascii="Arial" w:hAnsi="Arial" w:cs="Arial"/>
          <w:b/>
          <w:sz w:val="24"/>
        </w:rPr>
        <w:t>?</w:t>
      </w:r>
    </w:p>
    <w:p w14:paraId="4036F552" w14:textId="77777777" w:rsidR="00A14213" w:rsidRPr="00480E30" w:rsidRDefault="00A14213" w:rsidP="00480E30">
      <w:pPr>
        <w:pStyle w:val="ListParagraph"/>
        <w:rPr>
          <w:rFonts w:ascii="Arial" w:hAnsi="Arial" w:cs="Arial"/>
          <w:sz w:val="24"/>
        </w:rPr>
      </w:pPr>
      <w:r w:rsidRPr="00480E30">
        <w:rPr>
          <w:rFonts w:ascii="Arial" w:hAnsi="Arial" w:cs="Arial"/>
          <w:sz w:val="24"/>
        </w:rPr>
        <w:t>The IGA is currently looking at drafting guida</w:t>
      </w:r>
      <w:r w:rsidR="002F0412" w:rsidRPr="00480E30">
        <w:rPr>
          <w:rFonts w:ascii="Arial" w:hAnsi="Arial" w:cs="Arial"/>
          <w:sz w:val="24"/>
        </w:rPr>
        <w:t>nce across the following topics:-</w:t>
      </w:r>
    </w:p>
    <w:p w14:paraId="176E1126" w14:textId="77777777" w:rsidR="00A14213" w:rsidRPr="00A14213" w:rsidRDefault="005F25D9" w:rsidP="00480E30">
      <w:pPr>
        <w:pStyle w:val="ListParagraph"/>
        <w:numPr>
          <w:ilvl w:val="0"/>
          <w:numId w:val="6"/>
        </w:numPr>
        <w:rPr>
          <w:rFonts w:ascii="Arial" w:hAnsi="Arial" w:cs="Arial"/>
          <w:sz w:val="24"/>
        </w:rPr>
      </w:pPr>
      <w:hyperlink r:id="rId14" w:history="1">
        <w:r w:rsidR="00A14213" w:rsidRPr="00A14213">
          <w:rPr>
            <w:rStyle w:val="Hyperlink"/>
            <w:rFonts w:ascii="Arial" w:hAnsi="Arial" w:cs="Arial"/>
            <w:sz w:val="24"/>
          </w:rPr>
          <w:t>CEO briefing: the GDPR and Accountability for Data Protection</w:t>
        </w:r>
      </w:hyperlink>
    </w:p>
    <w:p w14:paraId="7494A7C8"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Data protection accountability and implementation priorities</w:t>
      </w:r>
    </w:p>
    <w:p w14:paraId="05F5A0B7"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Privacy by design and default</w:t>
      </w:r>
    </w:p>
    <w:p w14:paraId="3B23461A"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Transparency and subjects' rights</w:t>
      </w:r>
    </w:p>
    <w:p w14:paraId="53452112"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Consent</w:t>
      </w:r>
    </w:p>
    <w:p w14:paraId="1E129046"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Pseudonymisation</w:t>
      </w:r>
    </w:p>
    <w:p w14:paraId="49359403"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Personal data breaches and notification</w:t>
      </w:r>
    </w:p>
    <w:p w14:paraId="277C14FA"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Profiling and risk stratification</w:t>
      </w:r>
    </w:p>
    <w:p w14:paraId="5E3D8526"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GDPR overview</w:t>
      </w:r>
    </w:p>
    <w:p w14:paraId="7929E3D5"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What's New</w:t>
      </w:r>
    </w:p>
    <w:p w14:paraId="57166B32"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 xml:space="preserve">GP Practice / primary care suite </w:t>
      </w:r>
    </w:p>
    <w:p w14:paraId="121B5115"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 xml:space="preserve">The data protection officer </w:t>
      </w:r>
    </w:p>
    <w:p w14:paraId="3D024608" w14:textId="77777777" w:rsidR="00A14213" w:rsidRDefault="00A14213" w:rsidP="00480E30">
      <w:pPr>
        <w:pStyle w:val="ListParagraph"/>
        <w:numPr>
          <w:ilvl w:val="0"/>
          <w:numId w:val="6"/>
        </w:numPr>
        <w:rPr>
          <w:rFonts w:ascii="Arial" w:hAnsi="Arial" w:cs="Arial"/>
          <w:sz w:val="24"/>
        </w:rPr>
      </w:pPr>
      <w:r>
        <w:rPr>
          <w:rFonts w:ascii="Arial" w:hAnsi="Arial" w:cs="Arial"/>
          <w:sz w:val="24"/>
        </w:rPr>
        <w:t xml:space="preserve">Lawful processing </w:t>
      </w:r>
    </w:p>
    <w:p w14:paraId="1B456B9D" w14:textId="77777777" w:rsidR="006F607C" w:rsidRDefault="006F607C" w:rsidP="00480E30">
      <w:pPr>
        <w:pStyle w:val="ListParagraph"/>
        <w:numPr>
          <w:ilvl w:val="0"/>
          <w:numId w:val="6"/>
        </w:numPr>
        <w:rPr>
          <w:rFonts w:ascii="Arial" w:hAnsi="Arial" w:cs="Arial"/>
          <w:sz w:val="24"/>
        </w:rPr>
      </w:pPr>
      <w:r>
        <w:rPr>
          <w:rFonts w:ascii="Arial" w:hAnsi="Arial" w:cs="Arial"/>
          <w:sz w:val="24"/>
        </w:rPr>
        <w:t>Social care awareness guidance</w:t>
      </w:r>
    </w:p>
    <w:p w14:paraId="513E1D2F" w14:textId="77777777" w:rsidR="006F607C" w:rsidRDefault="006F607C" w:rsidP="00480E30">
      <w:pPr>
        <w:pStyle w:val="ListParagraph"/>
        <w:numPr>
          <w:ilvl w:val="0"/>
          <w:numId w:val="6"/>
        </w:numPr>
        <w:rPr>
          <w:rFonts w:ascii="Arial" w:hAnsi="Arial" w:cs="Arial"/>
          <w:sz w:val="24"/>
        </w:rPr>
      </w:pPr>
      <w:r>
        <w:rPr>
          <w:rFonts w:ascii="Arial" w:hAnsi="Arial" w:cs="Arial"/>
          <w:sz w:val="24"/>
        </w:rPr>
        <w:t>FAQs</w:t>
      </w:r>
    </w:p>
    <w:p w14:paraId="56F261EC" w14:textId="77777777" w:rsidR="006F607C" w:rsidRDefault="006F607C" w:rsidP="006F607C">
      <w:pPr>
        <w:pStyle w:val="ListParagraph"/>
        <w:rPr>
          <w:rFonts w:ascii="Arial" w:hAnsi="Arial" w:cs="Arial"/>
          <w:b/>
          <w:sz w:val="24"/>
        </w:rPr>
      </w:pPr>
    </w:p>
    <w:p w14:paraId="2BA39060" w14:textId="77777777" w:rsidR="00480E30" w:rsidRDefault="00480E30" w:rsidP="00480E30">
      <w:pPr>
        <w:pStyle w:val="ListParagraph"/>
        <w:numPr>
          <w:ilvl w:val="0"/>
          <w:numId w:val="5"/>
        </w:numPr>
        <w:rPr>
          <w:rFonts w:ascii="Arial" w:hAnsi="Arial" w:cs="Arial"/>
          <w:b/>
          <w:sz w:val="24"/>
        </w:rPr>
      </w:pPr>
      <w:r>
        <w:rPr>
          <w:rFonts w:ascii="Arial" w:hAnsi="Arial" w:cs="Arial"/>
          <w:b/>
          <w:sz w:val="24"/>
        </w:rPr>
        <w:t xml:space="preserve">What guidance is intended for publication </w:t>
      </w:r>
      <w:r w:rsidR="005836B9">
        <w:rPr>
          <w:rFonts w:ascii="Arial" w:hAnsi="Arial" w:cs="Arial"/>
          <w:b/>
          <w:sz w:val="24"/>
        </w:rPr>
        <w:t xml:space="preserve">by the IGA </w:t>
      </w:r>
      <w:r>
        <w:rPr>
          <w:rFonts w:ascii="Arial" w:hAnsi="Arial" w:cs="Arial"/>
          <w:b/>
          <w:sz w:val="24"/>
        </w:rPr>
        <w:t>and when?</w:t>
      </w:r>
    </w:p>
    <w:p w14:paraId="3CE66D18" w14:textId="14F63431" w:rsidR="0015046E" w:rsidRDefault="005836B9" w:rsidP="00480E30">
      <w:pPr>
        <w:pStyle w:val="ListParagraph"/>
        <w:rPr>
          <w:rFonts w:ascii="Arial" w:hAnsi="Arial" w:cs="Arial"/>
          <w:sz w:val="24"/>
        </w:rPr>
      </w:pPr>
      <w:r>
        <w:rPr>
          <w:rFonts w:ascii="Arial" w:hAnsi="Arial" w:cs="Arial"/>
          <w:sz w:val="24"/>
        </w:rPr>
        <w:t xml:space="preserve">The original intention was to publish </w:t>
      </w:r>
      <w:r w:rsidR="0015046E">
        <w:rPr>
          <w:rFonts w:ascii="Arial" w:hAnsi="Arial" w:cs="Arial"/>
          <w:sz w:val="24"/>
        </w:rPr>
        <w:t>a set of guidance across a series of timeframes</w:t>
      </w:r>
      <w:r>
        <w:rPr>
          <w:rFonts w:ascii="Arial" w:hAnsi="Arial" w:cs="Arial"/>
          <w:sz w:val="24"/>
        </w:rPr>
        <w:t>. Howeve</w:t>
      </w:r>
      <w:r w:rsidR="0015046E">
        <w:rPr>
          <w:rFonts w:ascii="Arial" w:hAnsi="Arial" w:cs="Arial"/>
          <w:sz w:val="24"/>
        </w:rPr>
        <w:t xml:space="preserve">r, we have incurred delays and we acknowledge the need to consider not only the </w:t>
      </w:r>
      <w:hyperlink r:id="rId15" w:history="1">
        <w:r w:rsidR="0015046E" w:rsidRPr="0015046E">
          <w:rPr>
            <w:rStyle w:val="Hyperlink"/>
            <w:rFonts w:ascii="Arial" w:hAnsi="Arial" w:cs="Arial"/>
            <w:sz w:val="24"/>
          </w:rPr>
          <w:t>Article 29 Working Party</w:t>
        </w:r>
      </w:hyperlink>
      <w:r w:rsidR="0015046E">
        <w:rPr>
          <w:rFonts w:ascii="Arial" w:hAnsi="Arial" w:cs="Arial"/>
          <w:sz w:val="24"/>
        </w:rPr>
        <w:t xml:space="preserve"> guidance which will inform guidance from the ICO but also the </w:t>
      </w:r>
      <w:hyperlink r:id="rId16" w:history="1">
        <w:r w:rsidR="0015046E" w:rsidRPr="0015046E">
          <w:rPr>
            <w:rStyle w:val="Hyperlink"/>
            <w:rFonts w:ascii="Arial" w:hAnsi="Arial" w:cs="Arial"/>
            <w:sz w:val="24"/>
          </w:rPr>
          <w:t>DP Bill</w:t>
        </w:r>
      </w:hyperlink>
      <w:r w:rsidR="0015046E">
        <w:rPr>
          <w:rFonts w:ascii="Arial" w:hAnsi="Arial" w:cs="Arial"/>
          <w:sz w:val="24"/>
        </w:rPr>
        <w:t xml:space="preserve">. This, upon approval may require </w:t>
      </w:r>
      <w:r w:rsidR="007372A0">
        <w:rPr>
          <w:rFonts w:ascii="Arial" w:hAnsi="Arial" w:cs="Arial"/>
          <w:sz w:val="24"/>
        </w:rPr>
        <w:t>changes which could a</w:t>
      </w:r>
      <w:r w:rsidR="0015046E">
        <w:rPr>
          <w:rFonts w:ascii="Arial" w:hAnsi="Arial" w:cs="Arial"/>
          <w:sz w:val="24"/>
        </w:rPr>
        <w:t>ffect advice provided. The IGA are working hard to try and provide as much advice as it can</w:t>
      </w:r>
      <w:r w:rsidR="004B36C7">
        <w:rPr>
          <w:rFonts w:ascii="Arial" w:hAnsi="Arial" w:cs="Arial"/>
          <w:sz w:val="24"/>
        </w:rPr>
        <w:t xml:space="preserve"> in the circumstances</w:t>
      </w:r>
      <w:r w:rsidR="0015046E">
        <w:rPr>
          <w:rFonts w:ascii="Arial" w:hAnsi="Arial" w:cs="Arial"/>
          <w:sz w:val="24"/>
        </w:rPr>
        <w:t xml:space="preserve">. </w:t>
      </w:r>
    </w:p>
    <w:p w14:paraId="6EF410BA" w14:textId="77777777" w:rsidR="0015046E" w:rsidRDefault="0015046E" w:rsidP="00480E30">
      <w:pPr>
        <w:pStyle w:val="ListParagraph"/>
        <w:rPr>
          <w:rFonts w:ascii="Arial" w:hAnsi="Arial" w:cs="Arial"/>
          <w:sz w:val="24"/>
        </w:rPr>
      </w:pPr>
    </w:p>
    <w:p w14:paraId="243295B3" w14:textId="66582B70" w:rsidR="00480E30" w:rsidRDefault="00480E30" w:rsidP="00480E30">
      <w:pPr>
        <w:pStyle w:val="ListParagraph"/>
        <w:rPr>
          <w:rFonts w:ascii="Arial" w:hAnsi="Arial" w:cs="Arial"/>
          <w:sz w:val="24"/>
        </w:rPr>
      </w:pPr>
      <w:r w:rsidRPr="00480E30">
        <w:rPr>
          <w:rFonts w:ascii="Arial" w:hAnsi="Arial" w:cs="Arial"/>
          <w:sz w:val="24"/>
        </w:rPr>
        <w:t>The list below gives an idea of the anticipated</w:t>
      </w:r>
      <w:r w:rsidR="0015046E">
        <w:rPr>
          <w:rFonts w:ascii="Arial" w:hAnsi="Arial" w:cs="Arial"/>
          <w:sz w:val="24"/>
        </w:rPr>
        <w:t>,</w:t>
      </w:r>
      <w:r w:rsidRPr="00480E30">
        <w:rPr>
          <w:rFonts w:ascii="Arial" w:hAnsi="Arial" w:cs="Arial"/>
          <w:sz w:val="24"/>
        </w:rPr>
        <w:t xml:space="preserve"> timeframe for publication. Please note this is subject to change. Whe</w:t>
      </w:r>
      <w:r w:rsidR="00383A35">
        <w:rPr>
          <w:rFonts w:ascii="Arial" w:hAnsi="Arial" w:cs="Arial"/>
          <w:sz w:val="24"/>
        </w:rPr>
        <w:t xml:space="preserve">re changed, we will update </w:t>
      </w:r>
      <w:r w:rsidR="0015046E">
        <w:rPr>
          <w:rFonts w:ascii="Arial" w:hAnsi="Arial" w:cs="Arial"/>
          <w:sz w:val="24"/>
        </w:rPr>
        <w:t>our website</w:t>
      </w:r>
      <w:r w:rsidR="004B36C7">
        <w:rPr>
          <w:rFonts w:ascii="Arial" w:hAnsi="Arial" w:cs="Arial"/>
          <w:sz w:val="24"/>
        </w:rPr>
        <w:t>.</w:t>
      </w:r>
      <w:r w:rsidR="0015046E">
        <w:rPr>
          <w:rFonts w:ascii="Arial" w:hAnsi="Arial" w:cs="Arial"/>
          <w:sz w:val="24"/>
        </w:rPr>
        <w:t xml:space="preserve"> </w:t>
      </w:r>
    </w:p>
    <w:p w14:paraId="43A5BDAF" w14:textId="77777777" w:rsidR="00480E30" w:rsidRDefault="00480E30" w:rsidP="00480E30">
      <w:pPr>
        <w:pStyle w:val="ListParagraph"/>
        <w:rPr>
          <w:rFonts w:ascii="Arial" w:hAnsi="Arial" w:cs="Arial"/>
          <w:sz w:val="24"/>
        </w:rPr>
      </w:pPr>
    </w:p>
    <w:p w14:paraId="486AAB41" w14:textId="77777777" w:rsidR="00480E30" w:rsidRPr="00480E30" w:rsidRDefault="00480E30" w:rsidP="00480E30">
      <w:pPr>
        <w:pStyle w:val="ListParagraph"/>
        <w:numPr>
          <w:ilvl w:val="0"/>
          <w:numId w:val="6"/>
        </w:numPr>
        <w:rPr>
          <w:rFonts w:ascii="Arial" w:hAnsi="Arial" w:cs="Arial"/>
          <w:sz w:val="24"/>
        </w:rPr>
      </w:pPr>
      <w:r>
        <w:rPr>
          <w:rFonts w:ascii="Arial" w:hAnsi="Arial" w:cs="Arial"/>
          <w:sz w:val="24"/>
        </w:rPr>
        <w:t>Published:-</w:t>
      </w:r>
    </w:p>
    <w:p w14:paraId="3F38BDCC" w14:textId="77777777" w:rsidR="00480E30" w:rsidRPr="00A14213" w:rsidRDefault="005F25D9" w:rsidP="00480E30">
      <w:pPr>
        <w:pStyle w:val="ListParagraph"/>
        <w:numPr>
          <w:ilvl w:val="1"/>
          <w:numId w:val="6"/>
        </w:numPr>
        <w:rPr>
          <w:rFonts w:ascii="Arial" w:hAnsi="Arial" w:cs="Arial"/>
          <w:sz w:val="24"/>
        </w:rPr>
      </w:pPr>
      <w:hyperlink r:id="rId17" w:history="1">
        <w:r w:rsidR="00480E30" w:rsidRPr="00A14213">
          <w:rPr>
            <w:rStyle w:val="Hyperlink"/>
            <w:rFonts w:ascii="Arial" w:hAnsi="Arial" w:cs="Arial"/>
            <w:sz w:val="24"/>
          </w:rPr>
          <w:t>CEO briefing: the GDPR and Accountability for Data Protection</w:t>
        </w:r>
      </w:hyperlink>
    </w:p>
    <w:p w14:paraId="7ED60523" w14:textId="77777777" w:rsidR="00480E30" w:rsidRDefault="00480E30" w:rsidP="00480E30">
      <w:pPr>
        <w:pStyle w:val="ListParagraph"/>
        <w:numPr>
          <w:ilvl w:val="0"/>
          <w:numId w:val="6"/>
        </w:numPr>
        <w:rPr>
          <w:rFonts w:ascii="Arial" w:hAnsi="Arial" w:cs="Arial"/>
          <w:sz w:val="24"/>
        </w:rPr>
      </w:pPr>
      <w:r>
        <w:rPr>
          <w:rFonts w:ascii="Arial" w:hAnsi="Arial" w:cs="Arial"/>
          <w:sz w:val="24"/>
        </w:rPr>
        <w:t>December 2018</w:t>
      </w:r>
    </w:p>
    <w:p w14:paraId="738FFB3C" w14:textId="77777777" w:rsidR="00480E30" w:rsidRDefault="006F607C" w:rsidP="006F607C">
      <w:pPr>
        <w:pStyle w:val="ListParagraph"/>
        <w:numPr>
          <w:ilvl w:val="1"/>
          <w:numId w:val="6"/>
        </w:numPr>
        <w:rPr>
          <w:rFonts w:ascii="Arial" w:hAnsi="Arial" w:cs="Arial"/>
          <w:sz w:val="24"/>
        </w:rPr>
      </w:pPr>
      <w:r>
        <w:rPr>
          <w:rFonts w:ascii="Arial" w:hAnsi="Arial" w:cs="Arial"/>
          <w:sz w:val="24"/>
        </w:rPr>
        <w:t>FAQs</w:t>
      </w:r>
    </w:p>
    <w:p w14:paraId="75A61FCF" w14:textId="77777777" w:rsidR="00480E30" w:rsidRDefault="00480E30" w:rsidP="00480E30">
      <w:pPr>
        <w:pStyle w:val="ListParagraph"/>
        <w:numPr>
          <w:ilvl w:val="0"/>
          <w:numId w:val="6"/>
        </w:numPr>
        <w:rPr>
          <w:rFonts w:ascii="Arial" w:hAnsi="Arial" w:cs="Arial"/>
          <w:sz w:val="24"/>
        </w:rPr>
      </w:pPr>
      <w:r>
        <w:rPr>
          <w:rFonts w:ascii="Arial" w:hAnsi="Arial" w:cs="Arial"/>
          <w:sz w:val="24"/>
        </w:rPr>
        <w:t>January – February 2018:-</w:t>
      </w:r>
    </w:p>
    <w:p w14:paraId="011F4183" w14:textId="77777777" w:rsidR="00480E30" w:rsidRDefault="00480E30" w:rsidP="00480E30">
      <w:pPr>
        <w:pStyle w:val="ListParagraph"/>
        <w:numPr>
          <w:ilvl w:val="1"/>
          <w:numId w:val="6"/>
        </w:numPr>
        <w:rPr>
          <w:rFonts w:ascii="Arial" w:hAnsi="Arial" w:cs="Arial"/>
          <w:sz w:val="24"/>
        </w:rPr>
      </w:pPr>
      <w:r w:rsidRPr="00A14213">
        <w:rPr>
          <w:rFonts w:ascii="Arial" w:hAnsi="Arial" w:cs="Arial"/>
          <w:sz w:val="24"/>
        </w:rPr>
        <w:t>Transparency and subjects' rights</w:t>
      </w:r>
    </w:p>
    <w:p w14:paraId="2720F511" w14:textId="77777777" w:rsidR="00480E30" w:rsidRDefault="00480E30" w:rsidP="00480E30">
      <w:pPr>
        <w:pStyle w:val="ListParagraph"/>
        <w:numPr>
          <w:ilvl w:val="1"/>
          <w:numId w:val="6"/>
        </w:numPr>
        <w:rPr>
          <w:rFonts w:ascii="Arial" w:hAnsi="Arial" w:cs="Arial"/>
          <w:sz w:val="24"/>
        </w:rPr>
      </w:pPr>
      <w:r w:rsidRPr="00480E30">
        <w:rPr>
          <w:rFonts w:ascii="Arial" w:hAnsi="Arial" w:cs="Arial"/>
          <w:sz w:val="24"/>
        </w:rPr>
        <w:t>Social care awareness guidance</w:t>
      </w:r>
    </w:p>
    <w:p w14:paraId="366642AD"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Data protection accountability and implementation priorities</w:t>
      </w:r>
    </w:p>
    <w:p w14:paraId="0C18C05A"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Consent</w:t>
      </w:r>
    </w:p>
    <w:p w14:paraId="2C98023B"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Pseudonymisation</w:t>
      </w:r>
    </w:p>
    <w:p w14:paraId="5E9A5A7D"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 xml:space="preserve">The data protection officer </w:t>
      </w:r>
    </w:p>
    <w:p w14:paraId="628E4B12"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What's New</w:t>
      </w:r>
    </w:p>
    <w:p w14:paraId="07E2CD54" w14:textId="77777777" w:rsidR="006F607C" w:rsidRDefault="006F607C" w:rsidP="006F607C">
      <w:pPr>
        <w:pStyle w:val="ListParagraph"/>
        <w:numPr>
          <w:ilvl w:val="1"/>
          <w:numId w:val="6"/>
        </w:numPr>
        <w:rPr>
          <w:rFonts w:ascii="Arial" w:hAnsi="Arial" w:cs="Arial"/>
          <w:sz w:val="24"/>
        </w:rPr>
      </w:pPr>
      <w:r>
        <w:rPr>
          <w:rFonts w:ascii="Arial" w:hAnsi="Arial" w:cs="Arial"/>
          <w:sz w:val="24"/>
        </w:rPr>
        <w:t xml:space="preserve">Lawful processing </w:t>
      </w:r>
    </w:p>
    <w:p w14:paraId="22EBD68D" w14:textId="77777777" w:rsidR="00480E30" w:rsidRDefault="00480E30" w:rsidP="00480E30">
      <w:pPr>
        <w:pStyle w:val="ListParagraph"/>
        <w:numPr>
          <w:ilvl w:val="0"/>
          <w:numId w:val="6"/>
        </w:numPr>
        <w:rPr>
          <w:rFonts w:ascii="Arial" w:hAnsi="Arial" w:cs="Arial"/>
          <w:sz w:val="24"/>
        </w:rPr>
      </w:pPr>
      <w:r>
        <w:rPr>
          <w:rFonts w:ascii="Arial" w:hAnsi="Arial" w:cs="Arial"/>
          <w:sz w:val="24"/>
        </w:rPr>
        <w:t>March – April 2018:-</w:t>
      </w:r>
    </w:p>
    <w:p w14:paraId="4C929A31"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Privacy by design and default</w:t>
      </w:r>
    </w:p>
    <w:p w14:paraId="2F3221C5"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Personal data breaches and notification</w:t>
      </w:r>
    </w:p>
    <w:p w14:paraId="31463F7C"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Profiling and risk stratification</w:t>
      </w:r>
    </w:p>
    <w:p w14:paraId="6EFE455F"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GDPR overview</w:t>
      </w:r>
    </w:p>
    <w:p w14:paraId="2BB838BC" w14:textId="77777777" w:rsidR="00480E30" w:rsidRDefault="00480E30" w:rsidP="00480E30">
      <w:pPr>
        <w:pStyle w:val="ListParagraph"/>
        <w:numPr>
          <w:ilvl w:val="1"/>
          <w:numId w:val="6"/>
        </w:numPr>
        <w:rPr>
          <w:rFonts w:ascii="Arial" w:hAnsi="Arial" w:cs="Arial"/>
          <w:sz w:val="24"/>
        </w:rPr>
      </w:pPr>
      <w:r w:rsidRPr="00A14213">
        <w:rPr>
          <w:rFonts w:ascii="Arial" w:hAnsi="Arial" w:cs="Arial"/>
          <w:sz w:val="24"/>
        </w:rPr>
        <w:t xml:space="preserve">GP Practice / primary care suite </w:t>
      </w:r>
    </w:p>
    <w:p w14:paraId="55655B70" w14:textId="77777777" w:rsidR="006F607C" w:rsidRDefault="006F607C" w:rsidP="006F607C">
      <w:pPr>
        <w:pStyle w:val="ListParagraph"/>
        <w:ind w:left="2160"/>
        <w:rPr>
          <w:rFonts w:ascii="Arial" w:hAnsi="Arial" w:cs="Arial"/>
          <w:sz w:val="24"/>
        </w:rPr>
      </w:pPr>
    </w:p>
    <w:p w14:paraId="2C71BB0B" w14:textId="77777777" w:rsidR="002F0412" w:rsidRPr="00480E30" w:rsidRDefault="00480E30" w:rsidP="00480E30">
      <w:pPr>
        <w:pStyle w:val="ListParagraph"/>
        <w:numPr>
          <w:ilvl w:val="0"/>
          <w:numId w:val="5"/>
        </w:numPr>
        <w:rPr>
          <w:rFonts w:ascii="Arial" w:hAnsi="Arial" w:cs="Arial"/>
          <w:b/>
          <w:sz w:val="24"/>
        </w:rPr>
      </w:pPr>
      <w:r w:rsidRPr="00480E30">
        <w:rPr>
          <w:rFonts w:ascii="Arial" w:hAnsi="Arial" w:cs="Arial"/>
          <w:b/>
          <w:sz w:val="24"/>
        </w:rPr>
        <w:t>What about Health Research guidance</w:t>
      </w:r>
    </w:p>
    <w:p w14:paraId="2221694B" w14:textId="77777777" w:rsidR="00480E30" w:rsidRDefault="00480E30" w:rsidP="00480E30">
      <w:pPr>
        <w:pStyle w:val="ListParagraph"/>
        <w:rPr>
          <w:rFonts w:ascii="Arial" w:hAnsi="Arial" w:cs="Arial"/>
          <w:sz w:val="24"/>
        </w:rPr>
      </w:pPr>
      <w:r>
        <w:rPr>
          <w:rFonts w:ascii="Arial" w:hAnsi="Arial" w:cs="Arial"/>
          <w:sz w:val="24"/>
        </w:rPr>
        <w:t xml:space="preserve">The Health Research Authority (HRA) intends to publish guidance – please check their </w:t>
      </w:r>
      <w:hyperlink r:id="rId18" w:history="1">
        <w:r w:rsidRPr="00480E30">
          <w:rPr>
            <w:rStyle w:val="Hyperlink"/>
            <w:rFonts w:ascii="Arial" w:hAnsi="Arial" w:cs="Arial"/>
            <w:sz w:val="24"/>
          </w:rPr>
          <w:t>website</w:t>
        </w:r>
      </w:hyperlink>
      <w:r>
        <w:rPr>
          <w:rFonts w:ascii="Arial" w:hAnsi="Arial" w:cs="Arial"/>
          <w:sz w:val="24"/>
        </w:rPr>
        <w:t xml:space="preserve"> for further details.</w:t>
      </w:r>
    </w:p>
    <w:p w14:paraId="76D122FB" w14:textId="77777777" w:rsidR="00325FF1" w:rsidRDefault="00325FF1" w:rsidP="00480E30">
      <w:pPr>
        <w:pStyle w:val="ListParagraph"/>
        <w:rPr>
          <w:rFonts w:ascii="Arial" w:hAnsi="Arial" w:cs="Arial"/>
          <w:sz w:val="24"/>
        </w:rPr>
      </w:pPr>
    </w:p>
    <w:p w14:paraId="5037F4FD" w14:textId="2B28D2EC" w:rsidR="00325FF1" w:rsidRDefault="00325FF1" w:rsidP="00325FF1">
      <w:pPr>
        <w:pStyle w:val="ListParagraph"/>
        <w:numPr>
          <w:ilvl w:val="0"/>
          <w:numId w:val="5"/>
        </w:numPr>
        <w:rPr>
          <w:rFonts w:ascii="Arial" w:hAnsi="Arial" w:cs="Arial"/>
          <w:b/>
          <w:sz w:val="24"/>
        </w:rPr>
      </w:pPr>
      <w:r w:rsidRPr="00325FF1">
        <w:rPr>
          <w:rFonts w:ascii="Arial" w:hAnsi="Arial" w:cs="Arial"/>
          <w:b/>
          <w:sz w:val="24"/>
        </w:rPr>
        <w:t xml:space="preserve">For </w:t>
      </w:r>
      <w:r w:rsidR="004B36C7">
        <w:rPr>
          <w:rFonts w:ascii="Arial" w:hAnsi="Arial" w:cs="Arial"/>
          <w:b/>
          <w:sz w:val="24"/>
        </w:rPr>
        <w:t>requests</w:t>
      </w:r>
      <w:r w:rsidR="004B36C7" w:rsidRPr="00325FF1">
        <w:rPr>
          <w:rFonts w:ascii="Arial" w:hAnsi="Arial" w:cs="Arial"/>
          <w:b/>
          <w:sz w:val="24"/>
        </w:rPr>
        <w:t xml:space="preserve"> </w:t>
      </w:r>
      <w:r w:rsidRPr="00325FF1">
        <w:rPr>
          <w:rFonts w:ascii="Arial" w:hAnsi="Arial" w:cs="Arial"/>
          <w:b/>
          <w:sz w:val="24"/>
        </w:rPr>
        <w:t>under the A</w:t>
      </w:r>
      <w:r w:rsidR="001E1C79">
        <w:rPr>
          <w:rFonts w:ascii="Arial" w:hAnsi="Arial" w:cs="Arial"/>
          <w:b/>
          <w:sz w:val="24"/>
        </w:rPr>
        <w:t>ccess to Health Records</w:t>
      </w:r>
      <w:r w:rsidRPr="00325FF1">
        <w:rPr>
          <w:rFonts w:ascii="Arial" w:hAnsi="Arial" w:cs="Arial"/>
          <w:b/>
          <w:sz w:val="24"/>
        </w:rPr>
        <w:t xml:space="preserve"> 1990 for access to records of the deceased, will the 40 calendar days and the application fee up to £50 still apply when GDPR is in place?</w:t>
      </w:r>
    </w:p>
    <w:p w14:paraId="0DBE66DA" w14:textId="77777777" w:rsidR="001E1C79" w:rsidRDefault="001E1C79" w:rsidP="001E1C79">
      <w:pPr>
        <w:pStyle w:val="ListParagraph"/>
        <w:rPr>
          <w:rFonts w:ascii="Arial" w:hAnsi="Arial" w:cs="Arial"/>
          <w:color w:val="000000"/>
          <w:sz w:val="24"/>
          <w:szCs w:val="24"/>
        </w:rPr>
      </w:pPr>
      <w:r>
        <w:rPr>
          <w:rFonts w:ascii="Arial" w:hAnsi="Arial" w:cs="Arial"/>
          <w:sz w:val="24"/>
        </w:rPr>
        <w:t>Under this legislation in particular</w:t>
      </w:r>
      <w:r>
        <w:rPr>
          <w:rFonts w:ascii="Arial" w:hAnsi="Arial" w:cs="Arial"/>
          <w:color w:val="000000"/>
          <w:sz w:val="24"/>
          <w:szCs w:val="24"/>
        </w:rPr>
        <w:t xml:space="preserve"> </w:t>
      </w:r>
      <w:hyperlink r:id="rId19" w:history="1">
        <w:r>
          <w:rPr>
            <w:rStyle w:val="Hyperlink"/>
            <w:rFonts w:ascii="Arial" w:hAnsi="Arial" w:cs="Arial"/>
            <w:sz w:val="24"/>
            <w:szCs w:val="24"/>
          </w:rPr>
          <w:t>Section 3(4)(a)</w:t>
        </w:r>
      </w:hyperlink>
      <w:r>
        <w:rPr>
          <w:rFonts w:ascii="Arial" w:hAnsi="Arial" w:cs="Arial"/>
          <w:color w:val="000000"/>
          <w:sz w:val="24"/>
          <w:szCs w:val="24"/>
        </w:rPr>
        <w:t xml:space="preserve">; it refers to the “prescribed” fee in relation to DPA but </w:t>
      </w:r>
      <w:r w:rsidR="00636FA7">
        <w:rPr>
          <w:rFonts w:ascii="Arial" w:hAnsi="Arial" w:cs="Arial"/>
          <w:color w:val="000000"/>
          <w:sz w:val="24"/>
          <w:szCs w:val="24"/>
        </w:rPr>
        <w:t>does not relate t</w:t>
      </w:r>
      <w:r>
        <w:rPr>
          <w:rFonts w:ascii="Arial" w:hAnsi="Arial" w:cs="Arial"/>
          <w:color w:val="000000"/>
          <w:sz w:val="24"/>
          <w:szCs w:val="24"/>
        </w:rPr>
        <w:t>he timeframe</w:t>
      </w:r>
      <w:r w:rsidR="00636FA7">
        <w:rPr>
          <w:rFonts w:ascii="Arial" w:hAnsi="Arial" w:cs="Arial"/>
          <w:color w:val="000000"/>
          <w:sz w:val="24"/>
          <w:szCs w:val="24"/>
        </w:rPr>
        <w:t xml:space="preserve"> to the DPA</w:t>
      </w:r>
      <w:r>
        <w:rPr>
          <w:rFonts w:ascii="Arial" w:hAnsi="Arial" w:cs="Arial"/>
          <w:color w:val="000000"/>
          <w:sz w:val="24"/>
          <w:szCs w:val="24"/>
        </w:rPr>
        <w:t>.</w:t>
      </w:r>
      <w:r w:rsidR="00636FA7">
        <w:rPr>
          <w:rFonts w:ascii="Arial" w:hAnsi="Arial" w:cs="Arial"/>
          <w:color w:val="000000"/>
          <w:sz w:val="24"/>
          <w:szCs w:val="24"/>
        </w:rPr>
        <w:t xml:space="preserve"> Therefore, it is considered at present </w:t>
      </w:r>
      <w:r>
        <w:rPr>
          <w:rFonts w:ascii="Arial" w:hAnsi="Arial" w:cs="Arial"/>
          <w:color w:val="000000"/>
          <w:sz w:val="24"/>
          <w:szCs w:val="24"/>
        </w:rPr>
        <w:t>that the ti</w:t>
      </w:r>
      <w:r w:rsidR="00636FA7">
        <w:rPr>
          <w:rFonts w:ascii="Arial" w:hAnsi="Arial" w:cs="Arial"/>
          <w:color w:val="000000"/>
          <w:sz w:val="24"/>
          <w:szCs w:val="24"/>
        </w:rPr>
        <w:t xml:space="preserve">meframe under this Act </w:t>
      </w:r>
      <w:r w:rsidR="00636FA7">
        <w:rPr>
          <w:rFonts w:ascii="Arial" w:hAnsi="Arial" w:cs="Arial"/>
          <w:color w:val="000000"/>
          <w:sz w:val="24"/>
          <w:szCs w:val="24"/>
        </w:rPr>
        <w:lastRenderedPageBreak/>
        <w:t>remains</w:t>
      </w:r>
      <w:r>
        <w:rPr>
          <w:rFonts w:ascii="Arial" w:hAnsi="Arial" w:cs="Arial"/>
          <w:color w:val="000000"/>
          <w:sz w:val="24"/>
          <w:szCs w:val="24"/>
        </w:rPr>
        <w:t xml:space="preserve"> </w:t>
      </w:r>
      <w:r w:rsidR="00F9505D">
        <w:rPr>
          <w:rFonts w:ascii="Arial" w:hAnsi="Arial" w:cs="Arial"/>
          <w:color w:val="000000"/>
          <w:sz w:val="24"/>
          <w:szCs w:val="24"/>
        </w:rPr>
        <w:t xml:space="preserve">at 40 calendar days </w:t>
      </w:r>
      <w:r>
        <w:rPr>
          <w:rFonts w:ascii="Arial" w:hAnsi="Arial" w:cs="Arial"/>
          <w:color w:val="000000"/>
          <w:sz w:val="24"/>
          <w:szCs w:val="24"/>
        </w:rPr>
        <w:t xml:space="preserve">but the fee matches that of </w:t>
      </w:r>
      <w:r w:rsidR="00F9505D">
        <w:rPr>
          <w:rFonts w:ascii="Arial" w:hAnsi="Arial" w:cs="Arial"/>
          <w:color w:val="000000"/>
          <w:sz w:val="24"/>
          <w:szCs w:val="24"/>
        </w:rPr>
        <w:t xml:space="preserve">the DPA. This </w:t>
      </w:r>
      <w:r w:rsidR="00636FA7">
        <w:rPr>
          <w:rFonts w:ascii="Arial" w:hAnsi="Arial" w:cs="Arial"/>
          <w:color w:val="000000"/>
          <w:sz w:val="24"/>
          <w:szCs w:val="24"/>
        </w:rPr>
        <w:t>wi</w:t>
      </w:r>
      <w:r w:rsidR="00F9505D">
        <w:rPr>
          <w:rFonts w:ascii="Arial" w:hAnsi="Arial" w:cs="Arial"/>
          <w:color w:val="000000"/>
          <w:sz w:val="24"/>
          <w:szCs w:val="24"/>
        </w:rPr>
        <w:t>ll be £0 in the GDPR / DP</w:t>
      </w:r>
      <w:r w:rsidR="00E035FB">
        <w:rPr>
          <w:rFonts w:ascii="Arial" w:hAnsi="Arial" w:cs="Arial"/>
          <w:color w:val="000000"/>
          <w:sz w:val="24"/>
          <w:szCs w:val="24"/>
        </w:rPr>
        <w:t>A 2</w:t>
      </w:r>
      <w:r w:rsidR="00F9505D">
        <w:rPr>
          <w:rFonts w:ascii="Arial" w:hAnsi="Arial" w:cs="Arial"/>
          <w:color w:val="000000"/>
          <w:sz w:val="24"/>
          <w:szCs w:val="24"/>
        </w:rPr>
        <w:t xml:space="preserve"> (unless exceptional circumstances apply).</w:t>
      </w:r>
    </w:p>
    <w:p w14:paraId="5C7C83F9" w14:textId="77777777" w:rsidR="00636FA7" w:rsidRDefault="00636FA7" w:rsidP="001E1C79">
      <w:pPr>
        <w:pStyle w:val="ListParagraph"/>
        <w:rPr>
          <w:rFonts w:ascii="Arial" w:hAnsi="Arial" w:cs="Arial"/>
          <w:sz w:val="24"/>
        </w:rPr>
      </w:pPr>
    </w:p>
    <w:p w14:paraId="2FDFCBF0" w14:textId="77777777" w:rsidR="00636FA7" w:rsidRDefault="00F9505D" w:rsidP="00636FA7">
      <w:pPr>
        <w:pStyle w:val="ListParagraph"/>
        <w:numPr>
          <w:ilvl w:val="0"/>
          <w:numId w:val="5"/>
        </w:numPr>
        <w:rPr>
          <w:rFonts w:ascii="Arial" w:hAnsi="Arial" w:cs="Arial"/>
          <w:b/>
          <w:sz w:val="24"/>
        </w:rPr>
      </w:pPr>
      <w:r>
        <w:rPr>
          <w:rFonts w:ascii="Arial" w:hAnsi="Arial" w:cs="Arial"/>
          <w:b/>
          <w:sz w:val="24"/>
        </w:rPr>
        <w:t>Do</w:t>
      </w:r>
      <w:r w:rsidR="00636FA7">
        <w:rPr>
          <w:rFonts w:ascii="Arial" w:hAnsi="Arial" w:cs="Arial"/>
          <w:b/>
          <w:sz w:val="24"/>
        </w:rPr>
        <w:t xml:space="preserve"> GP practices</w:t>
      </w:r>
      <w:r>
        <w:rPr>
          <w:rFonts w:ascii="Arial" w:hAnsi="Arial" w:cs="Arial"/>
          <w:b/>
          <w:sz w:val="24"/>
        </w:rPr>
        <w:t xml:space="preserve"> /</w:t>
      </w:r>
      <w:r w:rsidR="00636FA7">
        <w:rPr>
          <w:rFonts w:ascii="Arial" w:hAnsi="Arial" w:cs="Arial"/>
          <w:b/>
          <w:sz w:val="24"/>
        </w:rPr>
        <w:t xml:space="preserve"> </w:t>
      </w:r>
      <w:r w:rsidR="00636FA7" w:rsidRPr="00636FA7">
        <w:rPr>
          <w:rFonts w:ascii="Arial" w:hAnsi="Arial" w:cs="Arial"/>
          <w:b/>
          <w:sz w:val="24"/>
        </w:rPr>
        <w:t xml:space="preserve">federations need their own </w:t>
      </w:r>
      <w:r w:rsidR="00636FA7">
        <w:rPr>
          <w:rFonts w:ascii="Arial" w:hAnsi="Arial" w:cs="Arial"/>
          <w:b/>
          <w:sz w:val="24"/>
        </w:rPr>
        <w:t>DPO</w:t>
      </w:r>
      <w:r w:rsidR="00636FA7" w:rsidRPr="00636FA7">
        <w:rPr>
          <w:rFonts w:ascii="Arial" w:hAnsi="Arial" w:cs="Arial"/>
          <w:b/>
          <w:sz w:val="24"/>
        </w:rPr>
        <w:t xml:space="preserve"> given some can have over 30,000 patients?</w:t>
      </w:r>
    </w:p>
    <w:p w14:paraId="379F7FEB" w14:textId="77777777" w:rsidR="00636FA7" w:rsidRPr="00636FA7" w:rsidRDefault="00636FA7" w:rsidP="00636FA7">
      <w:pPr>
        <w:pStyle w:val="ListParagraph"/>
        <w:rPr>
          <w:rFonts w:ascii="Arial" w:hAnsi="Arial" w:cs="Arial"/>
          <w:sz w:val="24"/>
        </w:rPr>
      </w:pPr>
      <w:r w:rsidRPr="00636FA7">
        <w:rPr>
          <w:rFonts w:ascii="Arial" w:hAnsi="Arial" w:cs="Arial"/>
          <w:sz w:val="24"/>
        </w:rPr>
        <w:t>Please refer to Q7 and Q8.</w:t>
      </w:r>
    </w:p>
    <w:p w14:paraId="7CFB2A04" w14:textId="77777777" w:rsidR="00636FA7" w:rsidRPr="00636FA7" w:rsidRDefault="00636FA7" w:rsidP="00636FA7">
      <w:pPr>
        <w:pStyle w:val="ListParagraph"/>
        <w:rPr>
          <w:rFonts w:ascii="Arial" w:hAnsi="Arial" w:cs="Arial"/>
          <w:sz w:val="24"/>
        </w:rPr>
      </w:pPr>
    </w:p>
    <w:p w14:paraId="464F0183" w14:textId="77777777" w:rsidR="00636FA7" w:rsidRDefault="00636FA7" w:rsidP="00636FA7">
      <w:pPr>
        <w:pStyle w:val="ListParagraph"/>
        <w:rPr>
          <w:rFonts w:ascii="Arial" w:hAnsi="Arial" w:cs="Arial"/>
          <w:sz w:val="24"/>
        </w:rPr>
      </w:pPr>
    </w:p>
    <w:p w14:paraId="5FF9EADC" w14:textId="77777777" w:rsidR="00636FA7" w:rsidRPr="00636FA7" w:rsidRDefault="00636FA7" w:rsidP="00636FA7">
      <w:pPr>
        <w:pStyle w:val="ListParagraph"/>
        <w:rPr>
          <w:rFonts w:ascii="Arial" w:hAnsi="Arial" w:cs="Arial"/>
          <w:sz w:val="24"/>
        </w:rPr>
      </w:pPr>
    </w:p>
    <w:sectPr w:rsidR="00636FA7" w:rsidRPr="00636FA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460ECE" w15:done="0"/>
  <w15:commentEx w15:paraId="3035B129" w15:done="0"/>
  <w15:commentEx w15:paraId="26222F38" w15:done="0"/>
  <w15:commentEx w15:paraId="0BB2C8D6" w15:done="0"/>
  <w15:commentEx w15:paraId="64CF5E9B" w15:done="0"/>
  <w15:commentEx w15:paraId="026D483D" w15:done="0"/>
  <w15:commentEx w15:paraId="15245C29" w15:done="0"/>
  <w15:commentEx w15:paraId="3578FD2A" w15:done="0"/>
  <w15:commentEx w15:paraId="7D950627" w15:done="0"/>
  <w15:commentEx w15:paraId="591A0B77" w15:done="0"/>
  <w15:commentEx w15:paraId="5736B377" w15:done="0"/>
  <w15:commentEx w15:paraId="688FB0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60ECE" w16cid:durableId="1DBE9FA8"/>
  <w16cid:commentId w16cid:paraId="3035B129" w16cid:durableId="1DBEB182"/>
  <w16cid:commentId w16cid:paraId="26222F38" w16cid:durableId="1DBEB24D"/>
  <w16cid:commentId w16cid:paraId="0BB2C8D6" w16cid:durableId="1DBE9F57"/>
  <w16cid:commentId w16cid:paraId="64CF5E9B" w16cid:durableId="1DBE9F58"/>
  <w16cid:commentId w16cid:paraId="026D483D" w16cid:durableId="1DBE9F59"/>
  <w16cid:commentId w16cid:paraId="15245C29" w16cid:durableId="1DBEB448"/>
  <w16cid:commentId w16cid:paraId="3578FD2A" w16cid:durableId="1DBE9F5A"/>
  <w16cid:commentId w16cid:paraId="7D950627" w16cid:durableId="1DBE9F5B"/>
  <w16cid:commentId w16cid:paraId="591A0B77" w16cid:durableId="1DBE9F5C"/>
  <w16cid:commentId w16cid:paraId="5736B377" w16cid:durableId="1DBE9F5D"/>
  <w16cid:commentId w16cid:paraId="688FB0E6" w16cid:durableId="1DBE9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70018" w14:textId="77777777" w:rsidR="005F25D9" w:rsidRDefault="005F25D9" w:rsidP="00566301">
      <w:pPr>
        <w:spacing w:after="0" w:line="240" w:lineRule="auto"/>
      </w:pPr>
      <w:r>
        <w:separator/>
      </w:r>
    </w:p>
  </w:endnote>
  <w:endnote w:type="continuationSeparator" w:id="0">
    <w:p w14:paraId="2DE2F21A" w14:textId="77777777" w:rsidR="005F25D9" w:rsidRDefault="005F25D9" w:rsidP="0056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F426" w14:textId="77777777" w:rsidR="005F25D9" w:rsidRDefault="005F25D9" w:rsidP="00566301">
      <w:pPr>
        <w:spacing w:after="0" w:line="240" w:lineRule="auto"/>
      </w:pPr>
      <w:r>
        <w:separator/>
      </w:r>
    </w:p>
  </w:footnote>
  <w:footnote w:type="continuationSeparator" w:id="0">
    <w:p w14:paraId="7904D58F" w14:textId="77777777" w:rsidR="005F25D9" w:rsidRDefault="005F25D9" w:rsidP="0056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63A"/>
    <w:multiLevelType w:val="hybridMultilevel"/>
    <w:tmpl w:val="50D6B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040232"/>
    <w:multiLevelType w:val="hybridMultilevel"/>
    <w:tmpl w:val="48BCEA06"/>
    <w:lvl w:ilvl="0" w:tplc="6864482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9D1F8C"/>
    <w:multiLevelType w:val="hybridMultilevel"/>
    <w:tmpl w:val="08A4F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A0C21"/>
    <w:multiLevelType w:val="hybridMultilevel"/>
    <w:tmpl w:val="F194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22F97"/>
    <w:multiLevelType w:val="hybridMultilevel"/>
    <w:tmpl w:val="0AAC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BD2095E"/>
    <w:multiLevelType w:val="hybridMultilevel"/>
    <w:tmpl w:val="1C2652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04276"/>
    <w:multiLevelType w:val="hybridMultilevel"/>
    <w:tmpl w:val="4C7A7E08"/>
    <w:lvl w:ilvl="0" w:tplc="5A6EB24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F65163E"/>
    <w:multiLevelType w:val="hybridMultilevel"/>
    <w:tmpl w:val="90A22EF2"/>
    <w:lvl w:ilvl="0" w:tplc="A2C83D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E331B4"/>
    <w:multiLevelType w:val="hybridMultilevel"/>
    <w:tmpl w:val="EA5ED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033598C"/>
    <w:multiLevelType w:val="hybridMultilevel"/>
    <w:tmpl w:val="1772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173C5F"/>
    <w:multiLevelType w:val="hybridMultilevel"/>
    <w:tmpl w:val="85AC9A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EE9033E"/>
    <w:multiLevelType w:val="hybridMultilevel"/>
    <w:tmpl w:val="F3E073BE"/>
    <w:lvl w:ilvl="0" w:tplc="2B7CA2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8"/>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Evans">
    <w15:presenceInfo w15:providerId="AD" w15:userId="S-1-5-21-3923564064-2822557742-2356397232-6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5A"/>
    <w:rsid w:val="000E5C56"/>
    <w:rsid w:val="0015046E"/>
    <w:rsid w:val="001E1C79"/>
    <w:rsid w:val="00206557"/>
    <w:rsid w:val="00217C43"/>
    <w:rsid w:val="00246B6A"/>
    <w:rsid w:val="00254BFA"/>
    <w:rsid w:val="002C00EA"/>
    <w:rsid w:val="002F0412"/>
    <w:rsid w:val="00325FF1"/>
    <w:rsid w:val="00355B25"/>
    <w:rsid w:val="00363C85"/>
    <w:rsid w:val="003744E9"/>
    <w:rsid w:val="00383A35"/>
    <w:rsid w:val="003C55DF"/>
    <w:rsid w:val="003C5689"/>
    <w:rsid w:val="004206DB"/>
    <w:rsid w:val="00480E30"/>
    <w:rsid w:val="004B36C7"/>
    <w:rsid w:val="004F7D28"/>
    <w:rsid w:val="00566301"/>
    <w:rsid w:val="00580410"/>
    <w:rsid w:val="005836B9"/>
    <w:rsid w:val="00585C88"/>
    <w:rsid w:val="005F25D9"/>
    <w:rsid w:val="006012D7"/>
    <w:rsid w:val="00636FA7"/>
    <w:rsid w:val="00645933"/>
    <w:rsid w:val="00653F66"/>
    <w:rsid w:val="00655150"/>
    <w:rsid w:val="006624CA"/>
    <w:rsid w:val="006643E8"/>
    <w:rsid w:val="00665BA1"/>
    <w:rsid w:val="006B7433"/>
    <w:rsid w:val="006D40A1"/>
    <w:rsid w:val="006E5305"/>
    <w:rsid w:val="006F607C"/>
    <w:rsid w:val="00732138"/>
    <w:rsid w:val="007372A0"/>
    <w:rsid w:val="00756011"/>
    <w:rsid w:val="0079068C"/>
    <w:rsid w:val="007A6B39"/>
    <w:rsid w:val="007B0CE5"/>
    <w:rsid w:val="007B1D95"/>
    <w:rsid w:val="007D44FB"/>
    <w:rsid w:val="00886FA1"/>
    <w:rsid w:val="008A329B"/>
    <w:rsid w:val="008A4D47"/>
    <w:rsid w:val="008B693D"/>
    <w:rsid w:val="008D443F"/>
    <w:rsid w:val="008D54EF"/>
    <w:rsid w:val="008F48FC"/>
    <w:rsid w:val="00906FA8"/>
    <w:rsid w:val="0091020E"/>
    <w:rsid w:val="0098172A"/>
    <w:rsid w:val="009B3ED1"/>
    <w:rsid w:val="009E6460"/>
    <w:rsid w:val="00A14213"/>
    <w:rsid w:val="00A25174"/>
    <w:rsid w:val="00A33D37"/>
    <w:rsid w:val="00A502D4"/>
    <w:rsid w:val="00AB3373"/>
    <w:rsid w:val="00AB3DE9"/>
    <w:rsid w:val="00AF1A75"/>
    <w:rsid w:val="00B14F26"/>
    <w:rsid w:val="00B970F9"/>
    <w:rsid w:val="00BC445A"/>
    <w:rsid w:val="00C214B8"/>
    <w:rsid w:val="00CB151E"/>
    <w:rsid w:val="00D30329"/>
    <w:rsid w:val="00D448FD"/>
    <w:rsid w:val="00D52035"/>
    <w:rsid w:val="00D76FEE"/>
    <w:rsid w:val="00DA5CA9"/>
    <w:rsid w:val="00DC2FB5"/>
    <w:rsid w:val="00DC445C"/>
    <w:rsid w:val="00E035FB"/>
    <w:rsid w:val="00E053C0"/>
    <w:rsid w:val="00E34A5D"/>
    <w:rsid w:val="00E5595A"/>
    <w:rsid w:val="00E83CF7"/>
    <w:rsid w:val="00F903C3"/>
    <w:rsid w:val="00F9505D"/>
    <w:rsid w:val="00FB225F"/>
    <w:rsid w:val="00FE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43"/>
    <w:rPr>
      <w:rFonts w:ascii="Tahoma" w:hAnsi="Tahoma" w:cs="Tahoma"/>
      <w:sz w:val="16"/>
      <w:szCs w:val="16"/>
    </w:rPr>
  </w:style>
  <w:style w:type="character" w:styleId="Hyperlink">
    <w:name w:val="Hyperlink"/>
    <w:basedOn w:val="DefaultParagraphFont"/>
    <w:uiPriority w:val="99"/>
    <w:unhideWhenUsed/>
    <w:rsid w:val="006D40A1"/>
    <w:rPr>
      <w:color w:val="0000FF" w:themeColor="hyperlink"/>
      <w:u w:val="single"/>
    </w:rPr>
  </w:style>
  <w:style w:type="character" w:customStyle="1" w:styleId="tgc">
    <w:name w:val="_tgc"/>
    <w:basedOn w:val="DefaultParagraphFont"/>
    <w:rsid w:val="00655150"/>
  </w:style>
  <w:style w:type="paragraph" w:styleId="ListParagraph">
    <w:name w:val="List Paragraph"/>
    <w:basedOn w:val="Normal"/>
    <w:uiPriority w:val="34"/>
    <w:qFormat/>
    <w:rsid w:val="00A14213"/>
    <w:pPr>
      <w:ind w:left="720"/>
      <w:contextualSpacing/>
    </w:pPr>
  </w:style>
  <w:style w:type="paragraph" w:styleId="NoSpacing">
    <w:name w:val="No Spacing"/>
    <w:uiPriority w:val="1"/>
    <w:qFormat/>
    <w:rsid w:val="0079068C"/>
    <w:pPr>
      <w:spacing w:after="0" w:line="240" w:lineRule="auto"/>
    </w:pPr>
  </w:style>
  <w:style w:type="paragraph" w:styleId="FootnoteText">
    <w:name w:val="footnote text"/>
    <w:basedOn w:val="Normal"/>
    <w:link w:val="FootnoteTextChar"/>
    <w:uiPriority w:val="99"/>
    <w:rsid w:val="0056630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6301"/>
    <w:rPr>
      <w:rFonts w:ascii="Times New Roman" w:eastAsia="Times New Roman" w:hAnsi="Times New Roman" w:cs="Times New Roman"/>
      <w:sz w:val="24"/>
      <w:szCs w:val="24"/>
    </w:rPr>
  </w:style>
  <w:style w:type="character" w:styleId="FootnoteReference">
    <w:name w:val="footnote reference"/>
    <w:uiPriority w:val="99"/>
    <w:rsid w:val="00566301"/>
    <w:rPr>
      <w:vertAlign w:val="superscript"/>
    </w:rPr>
  </w:style>
  <w:style w:type="character" w:styleId="CommentReference">
    <w:name w:val="annotation reference"/>
    <w:basedOn w:val="DefaultParagraphFont"/>
    <w:uiPriority w:val="99"/>
    <w:semiHidden/>
    <w:unhideWhenUsed/>
    <w:rsid w:val="00636FA7"/>
    <w:rPr>
      <w:sz w:val="16"/>
      <w:szCs w:val="16"/>
    </w:rPr>
  </w:style>
  <w:style w:type="paragraph" w:styleId="CommentText">
    <w:name w:val="annotation text"/>
    <w:basedOn w:val="Normal"/>
    <w:link w:val="CommentTextChar"/>
    <w:uiPriority w:val="99"/>
    <w:semiHidden/>
    <w:unhideWhenUsed/>
    <w:rsid w:val="00636FA7"/>
    <w:pPr>
      <w:spacing w:line="240" w:lineRule="auto"/>
    </w:pPr>
    <w:rPr>
      <w:sz w:val="20"/>
      <w:szCs w:val="20"/>
    </w:rPr>
  </w:style>
  <w:style w:type="character" w:customStyle="1" w:styleId="CommentTextChar">
    <w:name w:val="Comment Text Char"/>
    <w:basedOn w:val="DefaultParagraphFont"/>
    <w:link w:val="CommentText"/>
    <w:uiPriority w:val="99"/>
    <w:semiHidden/>
    <w:rsid w:val="00636FA7"/>
    <w:rPr>
      <w:sz w:val="20"/>
      <w:szCs w:val="20"/>
    </w:rPr>
  </w:style>
  <w:style w:type="paragraph" w:styleId="CommentSubject">
    <w:name w:val="annotation subject"/>
    <w:basedOn w:val="CommentText"/>
    <w:next w:val="CommentText"/>
    <w:link w:val="CommentSubjectChar"/>
    <w:uiPriority w:val="99"/>
    <w:semiHidden/>
    <w:unhideWhenUsed/>
    <w:rsid w:val="00636FA7"/>
    <w:rPr>
      <w:b/>
      <w:bCs/>
    </w:rPr>
  </w:style>
  <w:style w:type="character" w:customStyle="1" w:styleId="CommentSubjectChar">
    <w:name w:val="Comment Subject Char"/>
    <w:basedOn w:val="CommentTextChar"/>
    <w:link w:val="CommentSubject"/>
    <w:uiPriority w:val="99"/>
    <w:semiHidden/>
    <w:rsid w:val="00636FA7"/>
    <w:rPr>
      <w:b/>
      <w:bCs/>
      <w:sz w:val="20"/>
      <w:szCs w:val="20"/>
    </w:rPr>
  </w:style>
  <w:style w:type="character" w:styleId="FollowedHyperlink">
    <w:name w:val="FollowedHyperlink"/>
    <w:basedOn w:val="DefaultParagraphFont"/>
    <w:uiPriority w:val="99"/>
    <w:semiHidden/>
    <w:unhideWhenUsed/>
    <w:rsid w:val="00F950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43"/>
    <w:rPr>
      <w:rFonts w:ascii="Tahoma" w:hAnsi="Tahoma" w:cs="Tahoma"/>
      <w:sz w:val="16"/>
      <w:szCs w:val="16"/>
    </w:rPr>
  </w:style>
  <w:style w:type="character" w:styleId="Hyperlink">
    <w:name w:val="Hyperlink"/>
    <w:basedOn w:val="DefaultParagraphFont"/>
    <w:uiPriority w:val="99"/>
    <w:unhideWhenUsed/>
    <w:rsid w:val="006D40A1"/>
    <w:rPr>
      <w:color w:val="0000FF" w:themeColor="hyperlink"/>
      <w:u w:val="single"/>
    </w:rPr>
  </w:style>
  <w:style w:type="character" w:customStyle="1" w:styleId="tgc">
    <w:name w:val="_tgc"/>
    <w:basedOn w:val="DefaultParagraphFont"/>
    <w:rsid w:val="00655150"/>
  </w:style>
  <w:style w:type="paragraph" w:styleId="ListParagraph">
    <w:name w:val="List Paragraph"/>
    <w:basedOn w:val="Normal"/>
    <w:uiPriority w:val="34"/>
    <w:qFormat/>
    <w:rsid w:val="00A14213"/>
    <w:pPr>
      <w:ind w:left="720"/>
      <w:contextualSpacing/>
    </w:pPr>
  </w:style>
  <w:style w:type="paragraph" w:styleId="NoSpacing">
    <w:name w:val="No Spacing"/>
    <w:uiPriority w:val="1"/>
    <w:qFormat/>
    <w:rsid w:val="0079068C"/>
    <w:pPr>
      <w:spacing w:after="0" w:line="240" w:lineRule="auto"/>
    </w:pPr>
  </w:style>
  <w:style w:type="paragraph" w:styleId="FootnoteText">
    <w:name w:val="footnote text"/>
    <w:basedOn w:val="Normal"/>
    <w:link w:val="FootnoteTextChar"/>
    <w:uiPriority w:val="99"/>
    <w:rsid w:val="0056630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6301"/>
    <w:rPr>
      <w:rFonts w:ascii="Times New Roman" w:eastAsia="Times New Roman" w:hAnsi="Times New Roman" w:cs="Times New Roman"/>
      <w:sz w:val="24"/>
      <w:szCs w:val="24"/>
    </w:rPr>
  </w:style>
  <w:style w:type="character" w:styleId="FootnoteReference">
    <w:name w:val="footnote reference"/>
    <w:uiPriority w:val="99"/>
    <w:rsid w:val="00566301"/>
    <w:rPr>
      <w:vertAlign w:val="superscript"/>
    </w:rPr>
  </w:style>
  <w:style w:type="character" w:styleId="CommentReference">
    <w:name w:val="annotation reference"/>
    <w:basedOn w:val="DefaultParagraphFont"/>
    <w:uiPriority w:val="99"/>
    <w:semiHidden/>
    <w:unhideWhenUsed/>
    <w:rsid w:val="00636FA7"/>
    <w:rPr>
      <w:sz w:val="16"/>
      <w:szCs w:val="16"/>
    </w:rPr>
  </w:style>
  <w:style w:type="paragraph" w:styleId="CommentText">
    <w:name w:val="annotation text"/>
    <w:basedOn w:val="Normal"/>
    <w:link w:val="CommentTextChar"/>
    <w:uiPriority w:val="99"/>
    <w:semiHidden/>
    <w:unhideWhenUsed/>
    <w:rsid w:val="00636FA7"/>
    <w:pPr>
      <w:spacing w:line="240" w:lineRule="auto"/>
    </w:pPr>
    <w:rPr>
      <w:sz w:val="20"/>
      <w:szCs w:val="20"/>
    </w:rPr>
  </w:style>
  <w:style w:type="character" w:customStyle="1" w:styleId="CommentTextChar">
    <w:name w:val="Comment Text Char"/>
    <w:basedOn w:val="DefaultParagraphFont"/>
    <w:link w:val="CommentText"/>
    <w:uiPriority w:val="99"/>
    <w:semiHidden/>
    <w:rsid w:val="00636FA7"/>
    <w:rPr>
      <w:sz w:val="20"/>
      <w:szCs w:val="20"/>
    </w:rPr>
  </w:style>
  <w:style w:type="paragraph" w:styleId="CommentSubject">
    <w:name w:val="annotation subject"/>
    <w:basedOn w:val="CommentText"/>
    <w:next w:val="CommentText"/>
    <w:link w:val="CommentSubjectChar"/>
    <w:uiPriority w:val="99"/>
    <w:semiHidden/>
    <w:unhideWhenUsed/>
    <w:rsid w:val="00636FA7"/>
    <w:rPr>
      <w:b/>
      <w:bCs/>
    </w:rPr>
  </w:style>
  <w:style w:type="character" w:customStyle="1" w:styleId="CommentSubjectChar">
    <w:name w:val="Comment Subject Char"/>
    <w:basedOn w:val="CommentTextChar"/>
    <w:link w:val="CommentSubject"/>
    <w:uiPriority w:val="99"/>
    <w:semiHidden/>
    <w:rsid w:val="00636FA7"/>
    <w:rPr>
      <w:b/>
      <w:bCs/>
      <w:sz w:val="20"/>
      <w:szCs w:val="20"/>
    </w:rPr>
  </w:style>
  <w:style w:type="character" w:styleId="FollowedHyperlink">
    <w:name w:val="FollowedHyperlink"/>
    <w:basedOn w:val="DefaultParagraphFont"/>
    <w:uiPriority w:val="99"/>
    <w:semiHidden/>
    <w:unhideWhenUsed/>
    <w:rsid w:val="00F95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0528">
      <w:bodyDiv w:val="1"/>
      <w:marLeft w:val="0"/>
      <w:marRight w:val="0"/>
      <w:marTop w:val="0"/>
      <w:marBottom w:val="0"/>
      <w:divBdr>
        <w:top w:val="none" w:sz="0" w:space="0" w:color="auto"/>
        <w:left w:val="none" w:sz="0" w:space="0" w:color="auto"/>
        <w:bottom w:val="none" w:sz="0" w:space="0" w:color="auto"/>
        <w:right w:val="none" w:sz="0" w:space="0" w:color="auto"/>
      </w:divBdr>
    </w:div>
    <w:div w:id="434835796">
      <w:bodyDiv w:val="1"/>
      <w:marLeft w:val="0"/>
      <w:marRight w:val="0"/>
      <w:marTop w:val="0"/>
      <w:marBottom w:val="0"/>
      <w:divBdr>
        <w:top w:val="none" w:sz="0" w:space="0" w:color="auto"/>
        <w:left w:val="none" w:sz="0" w:space="0" w:color="auto"/>
        <w:bottom w:val="none" w:sz="0" w:space="0" w:color="auto"/>
        <w:right w:val="none" w:sz="0" w:space="0" w:color="auto"/>
      </w:divBdr>
    </w:div>
    <w:div w:id="1179344526">
      <w:bodyDiv w:val="1"/>
      <w:marLeft w:val="0"/>
      <w:marRight w:val="0"/>
      <w:marTop w:val="0"/>
      <w:marBottom w:val="0"/>
      <w:divBdr>
        <w:top w:val="none" w:sz="0" w:space="0" w:color="auto"/>
        <w:left w:val="none" w:sz="0" w:space="0" w:color="auto"/>
        <w:bottom w:val="none" w:sz="0" w:space="0" w:color="auto"/>
        <w:right w:val="none" w:sz="0" w:space="0" w:color="auto"/>
      </w:divBdr>
    </w:div>
    <w:div w:id="1299610060">
      <w:bodyDiv w:val="1"/>
      <w:marLeft w:val="0"/>
      <w:marRight w:val="0"/>
      <w:marTop w:val="0"/>
      <w:marBottom w:val="0"/>
      <w:divBdr>
        <w:top w:val="none" w:sz="0" w:space="0" w:color="auto"/>
        <w:left w:val="none" w:sz="0" w:space="0" w:color="auto"/>
        <w:bottom w:val="none" w:sz="0" w:space="0" w:color="auto"/>
        <w:right w:val="none" w:sz="0" w:space="0" w:color="auto"/>
      </w:divBdr>
    </w:div>
    <w:div w:id="1330330203">
      <w:bodyDiv w:val="1"/>
      <w:marLeft w:val="0"/>
      <w:marRight w:val="0"/>
      <w:marTop w:val="0"/>
      <w:marBottom w:val="0"/>
      <w:divBdr>
        <w:top w:val="none" w:sz="0" w:space="0" w:color="auto"/>
        <w:left w:val="none" w:sz="0" w:space="0" w:color="auto"/>
        <w:bottom w:val="none" w:sz="0" w:space="0" w:color="auto"/>
        <w:right w:val="none" w:sz="0" w:space="0" w:color="auto"/>
      </w:divBdr>
    </w:div>
    <w:div w:id="1715882493">
      <w:bodyDiv w:val="1"/>
      <w:marLeft w:val="0"/>
      <w:marRight w:val="0"/>
      <w:marTop w:val="0"/>
      <w:marBottom w:val="0"/>
      <w:divBdr>
        <w:top w:val="none" w:sz="0" w:space="0" w:color="auto"/>
        <w:left w:val="none" w:sz="0" w:space="0" w:color="auto"/>
        <w:bottom w:val="none" w:sz="0" w:space="0" w:color="auto"/>
        <w:right w:val="none" w:sz="0" w:space="0" w:color="auto"/>
      </w:divBdr>
    </w:div>
    <w:div w:id="20351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reform/overview-of-the-gdpr/" TargetMode="External"/><Relationship Id="rId18" Type="http://schemas.openxmlformats.org/officeDocument/2006/relationships/hyperlink" Target="https://www.hra.nhs.uk/planning-and-improving-research/policies-standards-legislation/data-protection-and-information-governanc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gital.nhs.uk/information-governance-alliance/General-Data-Protection-Regulation-guidance" TargetMode="External"/><Relationship Id="rId17" Type="http://schemas.openxmlformats.org/officeDocument/2006/relationships/hyperlink" Target="https://digital.nhs.uk/article/6921/Changes-to-Data-Protection-legislation-why-this-matters-to-yo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ervices.parliament.uk/bills/2017-19/dataprotec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data-protection-reform/overview-of-the-gdpr/" TargetMode="External"/><Relationship Id="rId5" Type="http://schemas.openxmlformats.org/officeDocument/2006/relationships/settings" Target="settings.xml"/><Relationship Id="rId15" Type="http://schemas.openxmlformats.org/officeDocument/2006/relationships/hyperlink" Target="http://ec.europa.eu/newsroom/just/item-detail.cfm?item_id=50083" TargetMode="External"/><Relationship Id="rId10" Type="http://schemas.openxmlformats.org/officeDocument/2006/relationships/hyperlink" Target="http://www.google.co.uk/url?sa=t&amp;rct=j&amp;q=&amp;esrc=s&amp;source=web&amp;cd=2&amp;cad=rja&amp;uact=8&amp;ved=0ahUKEwi2uInP8L3XAhULU1AKHb3DBo8QFgguMAE&amp;url=http%3A%2F%2Fec.europa.eu%2Fnewsroom%2Fdocument.cfm%3Fdoc_id%3D43823&amp;usg=AOvVaw0lByVwRiT4WqHPUZU-MxjY" TargetMode="External"/><Relationship Id="rId19" Type="http://schemas.openxmlformats.org/officeDocument/2006/relationships/hyperlink" Target="http://www.legislation.gov.uk/ukpga/1990/23/pdfs/ukpga_19900023_en.pdf" TargetMode="External"/><Relationship Id="rId4" Type="http://schemas.microsoft.com/office/2007/relationships/stylesWithEffects" Target="stylesWithEffects.xml"/><Relationship Id="rId9" Type="http://schemas.openxmlformats.org/officeDocument/2006/relationships/hyperlink" Target="https://europa.eu/european-union/about-eu/countries_en" TargetMode="External"/><Relationship Id="rId14" Type="http://schemas.openxmlformats.org/officeDocument/2006/relationships/hyperlink" Target="https://digital.nhs.uk/article/6921/Changes-to-Data-Protection-legislation-why-this-matters-to-you"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093D-B81E-4EEE-82EE-3EAEF1D8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Bromley, Andrew</dc:creator>
  <cp:lastModifiedBy>BMoult</cp:lastModifiedBy>
  <cp:revision>2</cp:revision>
  <dcterms:created xsi:type="dcterms:W3CDTF">2017-11-23T11:17:00Z</dcterms:created>
  <dcterms:modified xsi:type="dcterms:W3CDTF">2017-11-23T11:17:00Z</dcterms:modified>
</cp:coreProperties>
</file>