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8B21EA" w14:textId="77777777" w:rsidR="004A729B" w:rsidRDefault="004A729B" w:rsidP="004A729B">
      <w:pPr>
        <w:autoSpaceDE w:val="0"/>
        <w:autoSpaceDN w:val="0"/>
        <w:adjustRightInd w:val="0"/>
        <w:ind w:right="425"/>
        <w:rPr>
          <w:rFonts w:cs="Arial"/>
          <w:color w:val="000000"/>
          <w:kern w:val="0"/>
          <w:szCs w:val="22"/>
        </w:rPr>
      </w:pPr>
    </w:p>
    <w:p w14:paraId="68A0BE56" w14:textId="77777777" w:rsidR="004B59B4" w:rsidRDefault="004B59B4" w:rsidP="00172C11">
      <w:pPr>
        <w:spacing w:line="240" w:lineRule="auto"/>
        <w:ind w:left="360" w:right="-46"/>
        <w:jc w:val="left"/>
        <w:rPr>
          <w:rFonts w:cs="Arial"/>
          <w:kern w:val="0"/>
          <w:szCs w:val="22"/>
          <w:lang w:eastAsia="en-US"/>
        </w:rPr>
      </w:pPr>
    </w:p>
    <w:p w14:paraId="79B2C926" w14:textId="77777777" w:rsidR="004B59B4" w:rsidRDefault="004B59B4" w:rsidP="00172C11">
      <w:pPr>
        <w:spacing w:line="240" w:lineRule="auto"/>
        <w:ind w:left="360" w:right="-46"/>
        <w:jc w:val="left"/>
        <w:rPr>
          <w:rFonts w:cs="Arial"/>
          <w:kern w:val="0"/>
          <w:szCs w:val="22"/>
          <w:lang w:eastAsia="en-US"/>
        </w:rPr>
      </w:pPr>
    </w:p>
    <w:p w14:paraId="5ADBA3D3" w14:textId="77777777" w:rsidR="004B59B4" w:rsidRDefault="004B59B4" w:rsidP="00172C11">
      <w:pPr>
        <w:spacing w:line="240" w:lineRule="auto"/>
        <w:ind w:left="360" w:right="-46"/>
        <w:jc w:val="left"/>
        <w:rPr>
          <w:rFonts w:cs="Arial"/>
          <w:kern w:val="0"/>
          <w:szCs w:val="22"/>
          <w:lang w:eastAsia="en-US"/>
        </w:rPr>
      </w:pPr>
    </w:p>
    <w:p w14:paraId="3728BA95" w14:textId="77777777" w:rsidR="004B59B4" w:rsidRPr="00172C11" w:rsidRDefault="004B59B4" w:rsidP="00172C11">
      <w:pPr>
        <w:spacing w:line="240" w:lineRule="auto"/>
        <w:ind w:left="360" w:right="-46"/>
        <w:jc w:val="left"/>
        <w:rPr>
          <w:rFonts w:cs="Arial"/>
          <w:kern w:val="0"/>
          <w:szCs w:val="22"/>
          <w:lang w:eastAsia="en-US"/>
        </w:rPr>
      </w:pPr>
    </w:p>
    <w:p w14:paraId="308AB34E" w14:textId="77777777" w:rsidR="00172C11" w:rsidRPr="00172C11" w:rsidRDefault="00172C11" w:rsidP="00172C11">
      <w:pPr>
        <w:spacing w:after="200" w:line="276" w:lineRule="auto"/>
        <w:ind w:right="-46"/>
        <w:contextualSpacing/>
        <w:rPr>
          <w:rFonts w:cs="Arial"/>
          <w:kern w:val="0"/>
          <w:szCs w:val="22"/>
          <w:lang w:eastAsia="en-US"/>
        </w:rPr>
      </w:pPr>
    </w:p>
    <w:p w14:paraId="540D949F" w14:textId="77777777" w:rsidR="00172C11" w:rsidRPr="00172C11" w:rsidRDefault="00172C11" w:rsidP="00172C11">
      <w:pPr>
        <w:autoSpaceDE w:val="0"/>
        <w:autoSpaceDN w:val="0"/>
        <w:adjustRightInd w:val="0"/>
        <w:spacing w:line="240" w:lineRule="auto"/>
        <w:jc w:val="center"/>
        <w:rPr>
          <w:rFonts w:cs="Arial"/>
          <w:color w:val="0070C0"/>
          <w:kern w:val="0"/>
          <w:sz w:val="40"/>
          <w:szCs w:val="40"/>
        </w:rPr>
      </w:pPr>
    </w:p>
    <w:p w14:paraId="280B7713" w14:textId="77777777" w:rsidR="00172C11" w:rsidRDefault="00172C11" w:rsidP="00172C11">
      <w:pPr>
        <w:autoSpaceDE w:val="0"/>
        <w:autoSpaceDN w:val="0"/>
        <w:adjustRightInd w:val="0"/>
        <w:spacing w:line="240" w:lineRule="auto"/>
        <w:jc w:val="center"/>
        <w:rPr>
          <w:rFonts w:cs="Arial"/>
          <w:color w:val="0070C0"/>
          <w:kern w:val="0"/>
          <w:sz w:val="40"/>
          <w:szCs w:val="40"/>
        </w:rPr>
      </w:pPr>
    </w:p>
    <w:p w14:paraId="5AE3C92D" w14:textId="77777777" w:rsidR="00F665BE" w:rsidRDefault="00F665BE" w:rsidP="00172C11">
      <w:pPr>
        <w:autoSpaceDE w:val="0"/>
        <w:autoSpaceDN w:val="0"/>
        <w:adjustRightInd w:val="0"/>
        <w:spacing w:line="240" w:lineRule="auto"/>
        <w:jc w:val="center"/>
        <w:rPr>
          <w:rFonts w:cs="Arial"/>
          <w:color w:val="0070C0"/>
          <w:kern w:val="0"/>
          <w:sz w:val="40"/>
          <w:szCs w:val="40"/>
        </w:rPr>
      </w:pPr>
    </w:p>
    <w:p w14:paraId="6FA9A2CE" w14:textId="77777777" w:rsidR="00F665BE" w:rsidRPr="00172C11" w:rsidRDefault="00F665BE" w:rsidP="00172C11">
      <w:pPr>
        <w:autoSpaceDE w:val="0"/>
        <w:autoSpaceDN w:val="0"/>
        <w:adjustRightInd w:val="0"/>
        <w:spacing w:line="240" w:lineRule="auto"/>
        <w:jc w:val="center"/>
        <w:rPr>
          <w:rFonts w:cs="Arial"/>
          <w:color w:val="0070C0"/>
          <w:kern w:val="0"/>
          <w:sz w:val="40"/>
          <w:szCs w:val="40"/>
        </w:rPr>
      </w:pPr>
    </w:p>
    <w:p w14:paraId="59D7A269" w14:textId="77777777" w:rsidR="00172C11" w:rsidRPr="00172C11" w:rsidRDefault="00172C11" w:rsidP="00172C11">
      <w:pPr>
        <w:autoSpaceDE w:val="0"/>
        <w:autoSpaceDN w:val="0"/>
        <w:adjustRightInd w:val="0"/>
        <w:spacing w:line="240" w:lineRule="auto"/>
        <w:jc w:val="center"/>
        <w:rPr>
          <w:rFonts w:cs="Arial"/>
          <w:color w:val="0070C0"/>
          <w:kern w:val="0"/>
          <w:sz w:val="40"/>
          <w:szCs w:val="40"/>
        </w:rPr>
      </w:pPr>
    </w:p>
    <w:p w14:paraId="407E6D70" w14:textId="77777777" w:rsidR="00172C11" w:rsidRPr="00172C11" w:rsidRDefault="00F73003" w:rsidP="00172C11">
      <w:pPr>
        <w:autoSpaceDE w:val="0"/>
        <w:autoSpaceDN w:val="0"/>
        <w:adjustRightInd w:val="0"/>
        <w:spacing w:line="240" w:lineRule="auto"/>
        <w:jc w:val="center"/>
        <w:rPr>
          <w:rFonts w:cs="Arial"/>
          <w:color w:val="0070C0"/>
          <w:kern w:val="0"/>
          <w:sz w:val="40"/>
          <w:szCs w:val="40"/>
        </w:rPr>
      </w:pPr>
      <w:r w:rsidRPr="00C2457D">
        <w:rPr>
          <w:rFonts w:cs="Arial"/>
          <w:color w:val="0070C0"/>
          <w:kern w:val="0"/>
          <w:sz w:val="40"/>
          <w:szCs w:val="40"/>
        </w:rPr>
        <w:t>Operational Policy for</w:t>
      </w:r>
      <w:r w:rsidR="00966F45">
        <w:rPr>
          <w:rFonts w:cs="Arial"/>
          <w:color w:val="0070C0"/>
          <w:kern w:val="0"/>
          <w:sz w:val="40"/>
          <w:szCs w:val="40"/>
        </w:rPr>
        <w:t xml:space="preserve"> NELCCG</w:t>
      </w:r>
    </w:p>
    <w:p w14:paraId="4D392C9E" w14:textId="77777777" w:rsidR="00172C11" w:rsidRPr="00172C11" w:rsidRDefault="00172C11" w:rsidP="00172C11">
      <w:pPr>
        <w:autoSpaceDE w:val="0"/>
        <w:autoSpaceDN w:val="0"/>
        <w:adjustRightInd w:val="0"/>
        <w:spacing w:line="240" w:lineRule="auto"/>
        <w:jc w:val="center"/>
        <w:rPr>
          <w:rFonts w:cs="Arial"/>
          <w:color w:val="0070C0"/>
          <w:kern w:val="0"/>
          <w:sz w:val="40"/>
          <w:szCs w:val="40"/>
        </w:rPr>
      </w:pPr>
      <w:r w:rsidRPr="00172C11">
        <w:rPr>
          <w:rFonts w:cs="Arial"/>
          <w:color w:val="0070C0"/>
          <w:kern w:val="0"/>
          <w:sz w:val="40"/>
          <w:szCs w:val="40"/>
        </w:rPr>
        <w:t xml:space="preserve">Personal Health Budgets in NHS Continuing Healthcare </w:t>
      </w:r>
    </w:p>
    <w:p w14:paraId="25717574" w14:textId="77777777" w:rsidR="00172C11" w:rsidRPr="00172C11" w:rsidRDefault="00172C11" w:rsidP="00172C11">
      <w:pPr>
        <w:spacing w:line="240" w:lineRule="auto"/>
        <w:jc w:val="left"/>
        <w:rPr>
          <w:color w:val="808080"/>
          <w:kern w:val="0"/>
          <w:sz w:val="36"/>
          <w:szCs w:val="36"/>
          <w:lang w:eastAsia="en-US"/>
        </w:rPr>
      </w:pPr>
    </w:p>
    <w:p w14:paraId="0CB3A4A2" w14:textId="77777777" w:rsidR="00172C11" w:rsidRPr="00172C11" w:rsidRDefault="00172C11" w:rsidP="00172C11">
      <w:pPr>
        <w:spacing w:line="240" w:lineRule="auto"/>
        <w:jc w:val="left"/>
        <w:rPr>
          <w:kern w:val="0"/>
          <w:sz w:val="24"/>
          <w:lang w:eastAsia="en-US"/>
        </w:rPr>
      </w:pPr>
    </w:p>
    <w:p w14:paraId="62BF84E2" w14:textId="77777777" w:rsidR="00172C11" w:rsidRPr="00172C11" w:rsidRDefault="00172C11" w:rsidP="00172C11">
      <w:pPr>
        <w:spacing w:line="240" w:lineRule="auto"/>
        <w:jc w:val="left"/>
        <w:rPr>
          <w:kern w:val="0"/>
          <w:sz w:val="24"/>
          <w:lang w:eastAsia="en-US"/>
        </w:rPr>
      </w:pPr>
    </w:p>
    <w:p w14:paraId="6859CE7B" w14:textId="77777777" w:rsidR="00172C11" w:rsidRPr="00172C11" w:rsidRDefault="00172C11" w:rsidP="00172C11">
      <w:pPr>
        <w:spacing w:line="240" w:lineRule="auto"/>
        <w:jc w:val="left"/>
        <w:rPr>
          <w:kern w:val="0"/>
          <w:sz w:val="24"/>
          <w:lang w:eastAsia="en-US"/>
        </w:rPr>
      </w:pPr>
    </w:p>
    <w:p w14:paraId="5853329A" w14:textId="77777777" w:rsidR="00172C11" w:rsidRPr="00172C11" w:rsidRDefault="00172C11" w:rsidP="00172C11">
      <w:pPr>
        <w:spacing w:line="240" w:lineRule="auto"/>
        <w:jc w:val="left"/>
        <w:rPr>
          <w:kern w:val="0"/>
          <w:sz w:val="24"/>
          <w:lang w:eastAsia="en-US"/>
        </w:rPr>
      </w:pPr>
    </w:p>
    <w:p w14:paraId="0AC929B2" w14:textId="77777777" w:rsidR="00172C11" w:rsidRPr="00172C11" w:rsidRDefault="00172C11" w:rsidP="00172C11">
      <w:pPr>
        <w:spacing w:line="240" w:lineRule="auto"/>
        <w:jc w:val="left"/>
        <w:rPr>
          <w:kern w:val="0"/>
          <w:sz w:val="24"/>
          <w:lang w:eastAsia="en-US"/>
        </w:rPr>
      </w:pPr>
    </w:p>
    <w:p w14:paraId="62514CC8" w14:textId="77777777" w:rsidR="00172C11" w:rsidRPr="00172C11" w:rsidRDefault="00172C11" w:rsidP="00172C11">
      <w:pPr>
        <w:spacing w:line="240" w:lineRule="auto"/>
        <w:jc w:val="left"/>
        <w:rPr>
          <w:kern w:val="0"/>
          <w:sz w:val="24"/>
          <w:lang w:eastAsia="en-US"/>
        </w:rPr>
      </w:pPr>
    </w:p>
    <w:p w14:paraId="63FB7A8F" w14:textId="77777777" w:rsidR="00172C11" w:rsidRPr="00172C11" w:rsidRDefault="00172C11" w:rsidP="00172C11">
      <w:pPr>
        <w:spacing w:line="240" w:lineRule="auto"/>
        <w:jc w:val="left"/>
        <w:rPr>
          <w:kern w:val="0"/>
          <w:sz w:val="24"/>
          <w:lang w:eastAsia="en-US"/>
        </w:rPr>
      </w:pPr>
    </w:p>
    <w:p w14:paraId="41999AFD" w14:textId="77777777" w:rsidR="00172C11" w:rsidRPr="00172C11" w:rsidRDefault="00172C11" w:rsidP="00172C11">
      <w:pPr>
        <w:spacing w:line="240" w:lineRule="auto"/>
        <w:jc w:val="left"/>
        <w:rPr>
          <w:kern w:val="0"/>
          <w:sz w:val="24"/>
          <w:lang w:eastAsia="en-US"/>
        </w:rPr>
      </w:pPr>
    </w:p>
    <w:p w14:paraId="3CDBA9FC" w14:textId="77777777" w:rsidR="00172C11" w:rsidRPr="00172C11" w:rsidRDefault="00172C11" w:rsidP="00172C11">
      <w:pPr>
        <w:spacing w:line="240" w:lineRule="auto"/>
        <w:jc w:val="left"/>
        <w:rPr>
          <w:kern w:val="0"/>
          <w:sz w:val="24"/>
          <w:lang w:eastAsia="en-US"/>
        </w:rPr>
      </w:pPr>
    </w:p>
    <w:p w14:paraId="52150CBA" w14:textId="77777777" w:rsidR="00172C11" w:rsidRPr="00172C11" w:rsidRDefault="00172C11" w:rsidP="00172C11">
      <w:pPr>
        <w:spacing w:line="240" w:lineRule="auto"/>
        <w:jc w:val="left"/>
        <w:rPr>
          <w:kern w:val="0"/>
          <w:sz w:val="24"/>
          <w:lang w:eastAsia="en-US"/>
        </w:rPr>
      </w:pPr>
    </w:p>
    <w:p w14:paraId="0C960FCB" w14:textId="77777777" w:rsidR="00172C11" w:rsidRPr="00172C11" w:rsidRDefault="00172C11" w:rsidP="00172C11">
      <w:pPr>
        <w:spacing w:line="240" w:lineRule="auto"/>
        <w:jc w:val="left"/>
        <w:rPr>
          <w:kern w:val="0"/>
          <w:sz w:val="24"/>
          <w:lang w:eastAsia="en-US"/>
        </w:rPr>
      </w:pPr>
    </w:p>
    <w:p w14:paraId="73E89883" w14:textId="77777777" w:rsidR="00172C11" w:rsidRPr="00172C11" w:rsidRDefault="00172C11" w:rsidP="00172C11">
      <w:pPr>
        <w:spacing w:line="240" w:lineRule="auto"/>
        <w:jc w:val="left"/>
        <w:rPr>
          <w:kern w:val="0"/>
          <w:sz w:val="24"/>
          <w:lang w:eastAsia="en-US"/>
        </w:rPr>
      </w:pPr>
    </w:p>
    <w:p w14:paraId="3D2FDB84" w14:textId="77777777" w:rsidR="00172C11" w:rsidRPr="00172C11" w:rsidRDefault="00172C11" w:rsidP="00172C11">
      <w:pPr>
        <w:spacing w:line="240" w:lineRule="auto"/>
        <w:jc w:val="left"/>
        <w:rPr>
          <w:kern w:val="0"/>
          <w:sz w:val="24"/>
          <w:lang w:eastAsia="en-US"/>
        </w:rPr>
      </w:pPr>
    </w:p>
    <w:p w14:paraId="70052F97" w14:textId="77777777" w:rsidR="00172C11" w:rsidRPr="00172C11" w:rsidRDefault="00172C11" w:rsidP="00172C11">
      <w:pPr>
        <w:spacing w:line="240" w:lineRule="auto"/>
        <w:jc w:val="left"/>
        <w:rPr>
          <w:kern w:val="0"/>
          <w:sz w:val="24"/>
          <w:lang w:eastAsia="en-US"/>
        </w:rPr>
      </w:pPr>
    </w:p>
    <w:p w14:paraId="11FFAF7E" w14:textId="77777777" w:rsidR="00172C11" w:rsidRPr="00172C11" w:rsidRDefault="00172C11" w:rsidP="00172C11">
      <w:pPr>
        <w:spacing w:line="240" w:lineRule="auto"/>
        <w:jc w:val="left"/>
        <w:rPr>
          <w:kern w:val="0"/>
          <w:sz w:val="24"/>
          <w:lang w:eastAsia="en-US"/>
        </w:rPr>
      </w:pPr>
    </w:p>
    <w:p w14:paraId="18FC1D2A" w14:textId="77777777" w:rsidR="00172C11" w:rsidRPr="00172C11" w:rsidRDefault="00172C11" w:rsidP="00172C11">
      <w:pPr>
        <w:spacing w:line="240" w:lineRule="auto"/>
        <w:jc w:val="left"/>
        <w:rPr>
          <w:kern w:val="0"/>
          <w:sz w:val="24"/>
          <w:lang w:eastAsia="en-US"/>
        </w:rPr>
      </w:pPr>
    </w:p>
    <w:p w14:paraId="1AF78411" w14:textId="77777777" w:rsidR="00172C11" w:rsidRPr="00172C11" w:rsidRDefault="00172C11" w:rsidP="00172C11">
      <w:pPr>
        <w:spacing w:line="240" w:lineRule="auto"/>
        <w:jc w:val="left"/>
        <w:rPr>
          <w:kern w:val="0"/>
          <w:sz w:val="24"/>
          <w:lang w:eastAsia="en-US"/>
        </w:rPr>
      </w:pPr>
    </w:p>
    <w:p w14:paraId="24922F4F" w14:textId="77777777" w:rsidR="00172C11" w:rsidRPr="00172C11" w:rsidRDefault="00172C11" w:rsidP="00172C11">
      <w:pPr>
        <w:spacing w:line="240" w:lineRule="auto"/>
        <w:jc w:val="left"/>
        <w:rPr>
          <w:kern w:val="0"/>
          <w:sz w:val="24"/>
          <w:lang w:eastAsia="en-US"/>
        </w:rPr>
      </w:pPr>
    </w:p>
    <w:p w14:paraId="172DA6D8" w14:textId="77777777" w:rsidR="00172C11" w:rsidRPr="00172C11" w:rsidRDefault="00172C11" w:rsidP="00172C11">
      <w:pPr>
        <w:spacing w:line="240" w:lineRule="auto"/>
        <w:jc w:val="left"/>
        <w:rPr>
          <w:kern w:val="0"/>
          <w:sz w:val="24"/>
          <w:lang w:eastAsia="en-US"/>
        </w:rPr>
      </w:pPr>
    </w:p>
    <w:p w14:paraId="4D666856" w14:textId="77777777" w:rsidR="00172C11" w:rsidRPr="00172C11" w:rsidRDefault="00172C11" w:rsidP="00172C11">
      <w:pPr>
        <w:spacing w:line="240" w:lineRule="auto"/>
        <w:jc w:val="left"/>
        <w:rPr>
          <w:kern w:val="0"/>
          <w:sz w:val="24"/>
          <w:lang w:eastAsia="en-US"/>
        </w:rPr>
      </w:pPr>
    </w:p>
    <w:p w14:paraId="6CBD8A19" w14:textId="77777777" w:rsidR="00172C11" w:rsidRPr="00172C11" w:rsidRDefault="00172C11" w:rsidP="00172C11">
      <w:pPr>
        <w:spacing w:line="240" w:lineRule="auto"/>
        <w:jc w:val="left"/>
        <w:rPr>
          <w:kern w:val="0"/>
          <w:sz w:val="24"/>
          <w:lang w:eastAsia="en-US"/>
        </w:rPr>
      </w:pPr>
    </w:p>
    <w:p w14:paraId="3E67DFA3" w14:textId="77777777" w:rsidR="00172C11" w:rsidRPr="00172C11" w:rsidRDefault="00172C11" w:rsidP="00172C11">
      <w:pPr>
        <w:spacing w:line="240" w:lineRule="auto"/>
        <w:jc w:val="left"/>
        <w:rPr>
          <w:kern w:val="0"/>
          <w:sz w:val="24"/>
          <w:lang w:eastAsia="en-US"/>
        </w:rPr>
      </w:pPr>
    </w:p>
    <w:p w14:paraId="31FB421D" w14:textId="77777777" w:rsidR="00172C11" w:rsidRPr="00172C11" w:rsidRDefault="00172C11" w:rsidP="00172C11">
      <w:pPr>
        <w:spacing w:line="240" w:lineRule="auto"/>
        <w:jc w:val="left"/>
        <w:rPr>
          <w:kern w:val="0"/>
          <w:sz w:val="24"/>
          <w:lang w:eastAsia="en-US"/>
        </w:rPr>
      </w:pPr>
    </w:p>
    <w:p w14:paraId="0F241A78" w14:textId="77777777" w:rsidR="00172C11" w:rsidRPr="00172C11" w:rsidRDefault="00172C11" w:rsidP="00172C11">
      <w:pPr>
        <w:spacing w:line="240" w:lineRule="auto"/>
        <w:jc w:val="left"/>
        <w:rPr>
          <w:kern w:val="0"/>
          <w:sz w:val="24"/>
          <w:lang w:eastAsia="en-US"/>
        </w:rPr>
      </w:pPr>
    </w:p>
    <w:p w14:paraId="77182F74" w14:textId="77777777" w:rsidR="00172C11" w:rsidRPr="00172C11" w:rsidRDefault="00172C11" w:rsidP="00172C11">
      <w:pPr>
        <w:spacing w:line="240" w:lineRule="auto"/>
        <w:jc w:val="left"/>
        <w:rPr>
          <w:kern w:val="0"/>
          <w:sz w:val="24"/>
          <w:lang w:eastAsia="en-US"/>
        </w:rPr>
      </w:pPr>
    </w:p>
    <w:p w14:paraId="75E16861" w14:textId="77777777" w:rsidR="00172C11" w:rsidRPr="00172C11" w:rsidRDefault="00172C11" w:rsidP="00172C11">
      <w:pPr>
        <w:suppressAutoHyphens/>
        <w:spacing w:line="240" w:lineRule="auto"/>
        <w:jc w:val="left"/>
        <w:rPr>
          <w:rFonts w:eastAsia="Calibri" w:cs="Arial"/>
          <w:color w:val="000000"/>
          <w:kern w:val="2"/>
          <w:szCs w:val="22"/>
          <w:lang w:eastAsia="en-US"/>
        </w:rPr>
      </w:pPr>
    </w:p>
    <w:p w14:paraId="636E3929" w14:textId="77777777" w:rsidR="00172C11" w:rsidRPr="00172C11" w:rsidRDefault="00172C11" w:rsidP="00172C11">
      <w:pPr>
        <w:suppressAutoHyphens/>
        <w:spacing w:line="240" w:lineRule="auto"/>
        <w:jc w:val="left"/>
        <w:rPr>
          <w:rFonts w:eastAsia="Calibri" w:cs="Arial"/>
          <w:i/>
          <w:color w:val="00B0F0"/>
          <w:kern w:val="2"/>
          <w:sz w:val="20"/>
          <w:szCs w:val="20"/>
          <w:lang w:eastAsia="en-US"/>
        </w:rPr>
      </w:pPr>
    </w:p>
    <w:p w14:paraId="1693D7B4" w14:textId="77777777" w:rsidR="00172C11" w:rsidRDefault="00172C11" w:rsidP="00172C11">
      <w:pPr>
        <w:suppressAutoHyphens/>
        <w:spacing w:line="240" w:lineRule="auto"/>
        <w:jc w:val="left"/>
        <w:rPr>
          <w:rFonts w:eastAsia="Calibri" w:cs="Arial"/>
          <w:color w:val="000000"/>
          <w:kern w:val="2"/>
          <w:szCs w:val="22"/>
          <w:lang w:eastAsia="en-US"/>
        </w:rPr>
      </w:pPr>
    </w:p>
    <w:tbl>
      <w:tblPr>
        <w:tblpPr w:leftFromText="180" w:rightFromText="180" w:horzAnchor="margin" w:tblpY="127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5139"/>
      </w:tblGrid>
      <w:tr w:rsidR="008454B6" w:rsidRPr="008454B6" w14:paraId="4E84FF99" w14:textId="77777777" w:rsidTr="002B5A68">
        <w:tc>
          <w:tcPr>
            <w:tcW w:w="4500" w:type="dxa"/>
            <w:shd w:val="clear" w:color="auto" w:fill="F2F2F2"/>
          </w:tcPr>
          <w:p w14:paraId="40C6C6E4" w14:textId="77777777" w:rsidR="008454B6" w:rsidRPr="008454B6" w:rsidRDefault="008454B6" w:rsidP="002B5A68">
            <w:pPr>
              <w:spacing w:line="240" w:lineRule="auto"/>
              <w:rPr>
                <w:rFonts w:cs="Arial"/>
                <w:b/>
                <w:kern w:val="0"/>
                <w:szCs w:val="22"/>
              </w:rPr>
            </w:pPr>
            <w:r w:rsidRPr="008454B6">
              <w:rPr>
                <w:kern w:val="0"/>
                <w:szCs w:val="22"/>
              </w:rPr>
              <w:lastRenderedPageBreak/>
              <w:br w:type="page"/>
            </w:r>
            <w:r w:rsidRPr="008454B6">
              <w:rPr>
                <w:rFonts w:cs="Arial"/>
                <w:b/>
                <w:kern w:val="0"/>
                <w:szCs w:val="22"/>
              </w:rPr>
              <w:t>Document Title:</w:t>
            </w:r>
          </w:p>
        </w:tc>
        <w:tc>
          <w:tcPr>
            <w:tcW w:w="5139" w:type="dxa"/>
          </w:tcPr>
          <w:p w14:paraId="24C90301" w14:textId="77777777" w:rsidR="008454B6" w:rsidRPr="008454B6" w:rsidRDefault="008454B6" w:rsidP="002B5A68">
            <w:pPr>
              <w:spacing w:line="240" w:lineRule="auto"/>
              <w:jc w:val="left"/>
              <w:rPr>
                <w:rFonts w:cs="Arial"/>
                <w:kern w:val="0"/>
                <w:szCs w:val="22"/>
              </w:rPr>
            </w:pPr>
            <w:r>
              <w:rPr>
                <w:rFonts w:cs="Arial"/>
                <w:kern w:val="0"/>
                <w:szCs w:val="22"/>
              </w:rPr>
              <w:t>Operational Policy for NELCCG Personal Health Budgets in NHS Continuing Healthcare</w:t>
            </w:r>
          </w:p>
        </w:tc>
      </w:tr>
      <w:tr w:rsidR="008454B6" w:rsidRPr="008454B6" w14:paraId="59DC9FBE" w14:textId="77777777" w:rsidTr="002B5A68">
        <w:tc>
          <w:tcPr>
            <w:tcW w:w="4500" w:type="dxa"/>
            <w:shd w:val="clear" w:color="auto" w:fill="F2F2F2"/>
          </w:tcPr>
          <w:p w14:paraId="5F4E804C" w14:textId="77777777" w:rsidR="008454B6" w:rsidRPr="008454B6" w:rsidRDefault="008454B6" w:rsidP="002B5A68">
            <w:pPr>
              <w:spacing w:line="240" w:lineRule="auto"/>
              <w:rPr>
                <w:rFonts w:cs="Arial"/>
                <w:b/>
                <w:kern w:val="0"/>
                <w:szCs w:val="22"/>
              </w:rPr>
            </w:pPr>
            <w:r w:rsidRPr="008454B6">
              <w:rPr>
                <w:rFonts w:cs="Arial"/>
                <w:b/>
                <w:kern w:val="0"/>
                <w:szCs w:val="22"/>
              </w:rPr>
              <w:t>Version No:</w:t>
            </w:r>
          </w:p>
        </w:tc>
        <w:tc>
          <w:tcPr>
            <w:tcW w:w="5139" w:type="dxa"/>
          </w:tcPr>
          <w:p w14:paraId="619CDD24" w14:textId="78C32844" w:rsidR="008454B6" w:rsidRPr="008454B6" w:rsidRDefault="000826B5" w:rsidP="002B5A68">
            <w:pPr>
              <w:spacing w:line="240" w:lineRule="auto"/>
              <w:rPr>
                <w:rFonts w:cs="Arial"/>
                <w:kern w:val="0"/>
                <w:szCs w:val="22"/>
              </w:rPr>
            </w:pPr>
            <w:r>
              <w:rPr>
                <w:rFonts w:cs="Arial"/>
                <w:kern w:val="0"/>
                <w:szCs w:val="22"/>
              </w:rPr>
              <w:t>V</w:t>
            </w:r>
            <w:r w:rsidR="007B7C47">
              <w:rPr>
                <w:rFonts w:cs="Arial"/>
                <w:kern w:val="0"/>
                <w:szCs w:val="22"/>
              </w:rPr>
              <w:t>3</w:t>
            </w:r>
            <w:r w:rsidR="008454B6" w:rsidRPr="008454B6">
              <w:rPr>
                <w:rFonts w:cs="Arial"/>
                <w:kern w:val="0"/>
                <w:szCs w:val="22"/>
              </w:rPr>
              <w:t>.0</w:t>
            </w:r>
          </w:p>
        </w:tc>
      </w:tr>
      <w:tr w:rsidR="008454B6" w:rsidRPr="008454B6" w14:paraId="05281BC0" w14:textId="77777777" w:rsidTr="002B5A68">
        <w:tc>
          <w:tcPr>
            <w:tcW w:w="4500" w:type="dxa"/>
            <w:shd w:val="clear" w:color="auto" w:fill="F2F2F2"/>
          </w:tcPr>
          <w:p w14:paraId="7FE92AEA" w14:textId="77777777" w:rsidR="008454B6" w:rsidRPr="008454B6" w:rsidRDefault="008454B6" w:rsidP="002B5A68">
            <w:pPr>
              <w:spacing w:line="240" w:lineRule="auto"/>
              <w:rPr>
                <w:rFonts w:cs="Arial"/>
                <w:b/>
                <w:kern w:val="0"/>
                <w:szCs w:val="22"/>
              </w:rPr>
            </w:pPr>
            <w:r w:rsidRPr="008454B6">
              <w:rPr>
                <w:rFonts w:cs="Arial"/>
                <w:b/>
                <w:kern w:val="0"/>
                <w:szCs w:val="22"/>
              </w:rPr>
              <w:t xml:space="preserve">Latest version issued: </w:t>
            </w:r>
          </w:p>
        </w:tc>
        <w:tc>
          <w:tcPr>
            <w:tcW w:w="5139" w:type="dxa"/>
          </w:tcPr>
          <w:p w14:paraId="2F204C9E" w14:textId="3D7B791C" w:rsidR="008454B6" w:rsidRPr="009F2F9A" w:rsidRDefault="00697B5C" w:rsidP="002B5A68">
            <w:pPr>
              <w:spacing w:line="240" w:lineRule="auto"/>
              <w:rPr>
                <w:rFonts w:cs="Arial"/>
                <w:kern w:val="0"/>
                <w:szCs w:val="22"/>
              </w:rPr>
            </w:pPr>
            <w:r>
              <w:rPr>
                <w:rFonts w:cs="Arial"/>
                <w:kern w:val="0"/>
                <w:szCs w:val="22"/>
              </w:rPr>
              <w:t>10</w:t>
            </w:r>
            <w:r w:rsidR="009F2F9A">
              <w:rPr>
                <w:rFonts w:cs="Arial"/>
                <w:kern w:val="0"/>
                <w:szCs w:val="22"/>
              </w:rPr>
              <w:t xml:space="preserve"> December 2019</w:t>
            </w:r>
          </w:p>
        </w:tc>
      </w:tr>
      <w:tr w:rsidR="008454B6" w:rsidRPr="008454B6" w14:paraId="68F53F96" w14:textId="77777777" w:rsidTr="002B5A68">
        <w:tc>
          <w:tcPr>
            <w:tcW w:w="4500" w:type="dxa"/>
            <w:shd w:val="clear" w:color="auto" w:fill="F2F2F2"/>
          </w:tcPr>
          <w:p w14:paraId="6EBD39C3" w14:textId="77777777" w:rsidR="008454B6" w:rsidRPr="008454B6" w:rsidRDefault="008454B6" w:rsidP="002B5A68">
            <w:pPr>
              <w:spacing w:line="240" w:lineRule="auto"/>
              <w:rPr>
                <w:rFonts w:cs="Arial"/>
                <w:b/>
                <w:kern w:val="0"/>
                <w:szCs w:val="22"/>
              </w:rPr>
            </w:pPr>
            <w:r w:rsidRPr="008454B6">
              <w:rPr>
                <w:rFonts w:cs="Arial"/>
                <w:b/>
                <w:kern w:val="0"/>
                <w:szCs w:val="22"/>
              </w:rPr>
              <w:t>Supersedes:</w:t>
            </w:r>
          </w:p>
        </w:tc>
        <w:tc>
          <w:tcPr>
            <w:tcW w:w="5139" w:type="dxa"/>
          </w:tcPr>
          <w:p w14:paraId="6C5DE3B3" w14:textId="0EB487D8" w:rsidR="008454B6" w:rsidRPr="009F2F9A" w:rsidRDefault="007B7C47" w:rsidP="002B5A68">
            <w:pPr>
              <w:spacing w:line="240" w:lineRule="auto"/>
              <w:rPr>
                <w:rFonts w:cs="Arial"/>
                <w:kern w:val="0"/>
                <w:sz w:val="20"/>
                <w:szCs w:val="20"/>
              </w:rPr>
            </w:pPr>
            <w:r>
              <w:rPr>
                <w:rFonts w:cs="Arial"/>
                <w:kern w:val="0"/>
                <w:szCs w:val="22"/>
              </w:rPr>
              <w:t>All previous versions</w:t>
            </w:r>
          </w:p>
        </w:tc>
      </w:tr>
      <w:tr w:rsidR="008454B6" w:rsidRPr="008454B6" w14:paraId="44687FAC" w14:textId="77777777" w:rsidTr="002B5A68">
        <w:tc>
          <w:tcPr>
            <w:tcW w:w="4500" w:type="dxa"/>
            <w:shd w:val="clear" w:color="auto" w:fill="F2F2F2"/>
          </w:tcPr>
          <w:p w14:paraId="23955D8C" w14:textId="77777777" w:rsidR="008454B6" w:rsidRPr="008454B6" w:rsidRDefault="008454B6" w:rsidP="002B5A68">
            <w:pPr>
              <w:spacing w:line="240" w:lineRule="auto"/>
              <w:rPr>
                <w:rFonts w:cs="Arial"/>
                <w:b/>
                <w:kern w:val="0"/>
                <w:szCs w:val="22"/>
              </w:rPr>
            </w:pPr>
            <w:r w:rsidRPr="008454B6">
              <w:rPr>
                <w:rFonts w:cs="Arial"/>
                <w:b/>
                <w:kern w:val="0"/>
                <w:szCs w:val="22"/>
              </w:rPr>
              <w:t>Name of Author (s):</w:t>
            </w:r>
          </w:p>
        </w:tc>
        <w:tc>
          <w:tcPr>
            <w:tcW w:w="5139" w:type="dxa"/>
          </w:tcPr>
          <w:p w14:paraId="34328798" w14:textId="77777777" w:rsidR="008454B6" w:rsidRPr="009F2F9A" w:rsidRDefault="008454B6" w:rsidP="002B5A68">
            <w:pPr>
              <w:spacing w:line="240" w:lineRule="auto"/>
              <w:rPr>
                <w:rFonts w:cs="Arial"/>
                <w:kern w:val="0"/>
                <w:szCs w:val="22"/>
              </w:rPr>
            </w:pPr>
            <w:r w:rsidRPr="009F2F9A">
              <w:rPr>
                <w:rFonts w:cs="Arial"/>
                <w:kern w:val="0"/>
                <w:szCs w:val="22"/>
              </w:rPr>
              <w:t>Julie Elliott</w:t>
            </w:r>
          </w:p>
          <w:p w14:paraId="1188B3DA" w14:textId="77777777" w:rsidR="008454B6" w:rsidRPr="009F2F9A" w:rsidRDefault="008454B6" w:rsidP="002B5A68">
            <w:pPr>
              <w:spacing w:line="240" w:lineRule="auto"/>
              <w:jc w:val="left"/>
              <w:rPr>
                <w:rFonts w:cs="Arial"/>
                <w:kern w:val="0"/>
                <w:szCs w:val="22"/>
              </w:rPr>
            </w:pPr>
            <w:r w:rsidRPr="009F2F9A">
              <w:rPr>
                <w:rFonts w:cs="Arial"/>
                <w:szCs w:val="22"/>
              </w:rPr>
              <w:t>Continuing Healthcare (CHC) Specialist Nurse</w:t>
            </w:r>
          </w:p>
        </w:tc>
      </w:tr>
      <w:tr w:rsidR="008454B6" w:rsidRPr="008454B6" w14:paraId="10DA4E53" w14:textId="77777777" w:rsidTr="002B5A68">
        <w:tc>
          <w:tcPr>
            <w:tcW w:w="4500" w:type="dxa"/>
            <w:shd w:val="clear" w:color="auto" w:fill="F2F2F2"/>
          </w:tcPr>
          <w:p w14:paraId="77F6BC47" w14:textId="77777777" w:rsidR="008454B6" w:rsidRPr="008454B6" w:rsidRDefault="008454B6" w:rsidP="002B5A68">
            <w:pPr>
              <w:spacing w:line="240" w:lineRule="auto"/>
              <w:rPr>
                <w:rFonts w:cs="Arial"/>
                <w:b/>
                <w:kern w:val="0"/>
                <w:szCs w:val="22"/>
              </w:rPr>
            </w:pPr>
            <w:r w:rsidRPr="008454B6">
              <w:rPr>
                <w:rFonts w:cs="Arial"/>
                <w:b/>
                <w:kern w:val="0"/>
                <w:szCs w:val="22"/>
              </w:rPr>
              <w:t>Consultation:</w:t>
            </w:r>
          </w:p>
        </w:tc>
        <w:tc>
          <w:tcPr>
            <w:tcW w:w="5139" w:type="dxa"/>
          </w:tcPr>
          <w:p w14:paraId="4FA1E4FB" w14:textId="77777777" w:rsidR="008454B6" w:rsidRPr="008454B6" w:rsidRDefault="008454B6" w:rsidP="002B5A68">
            <w:pPr>
              <w:spacing w:line="240" w:lineRule="auto"/>
              <w:rPr>
                <w:rFonts w:cs="Arial"/>
                <w:kern w:val="0"/>
                <w:szCs w:val="22"/>
              </w:rPr>
            </w:pPr>
            <w:r w:rsidRPr="008454B6">
              <w:rPr>
                <w:rFonts w:cs="Arial"/>
                <w:kern w:val="0"/>
                <w:szCs w:val="22"/>
              </w:rPr>
              <w:t>EQIA Panel</w:t>
            </w:r>
          </w:p>
        </w:tc>
      </w:tr>
      <w:tr w:rsidR="008454B6" w:rsidRPr="008454B6" w14:paraId="641D2BA3" w14:textId="77777777" w:rsidTr="002B5A68">
        <w:tc>
          <w:tcPr>
            <w:tcW w:w="4500" w:type="dxa"/>
            <w:shd w:val="clear" w:color="auto" w:fill="F2F2F2"/>
          </w:tcPr>
          <w:p w14:paraId="21FB712A" w14:textId="77777777" w:rsidR="008454B6" w:rsidRPr="008454B6" w:rsidRDefault="008454B6" w:rsidP="002B5A68">
            <w:pPr>
              <w:spacing w:line="240" w:lineRule="auto"/>
              <w:rPr>
                <w:rFonts w:cs="Arial"/>
                <w:b/>
                <w:kern w:val="0"/>
                <w:szCs w:val="22"/>
              </w:rPr>
            </w:pPr>
            <w:r w:rsidRPr="008454B6">
              <w:rPr>
                <w:rFonts w:cs="Arial"/>
                <w:b/>
                <w:kern w:val="0"/>
                <w:szCs w:val="22"/>
              </w:rPr>
              <w:t>Approved by:</w:t>
            </w:r>
          </w:p>
        </w:tc>
        <w:tc>
          <w:tcPr>
            <w:tcW w:w="5139" w:type="dxa"/>
          </w:tcPr>
          <w:p w14:paraId="463115C6" w14:textId="77777777" w:rsidR="008454B6" w:rsidRPr="008454B6" w:rsidRDefault="008454B6" w:rsidP="002B5A68">
            <w:pPr>
              <w:spacing w:line="240" w:lineRule="auto"/>
              <w:rPr>
                <w:rFonts w:cs="Arial"/>
                <w:kern w:val="0"/>
                <w:szCs w:val="22"/>
              </w:rPr>
            </w:pPr>
            <w:r w:rsidRPr="008454B6">
              <w:rPr>
                <w:rFonts w:cs="Arial"/>
                <w:kern w:val="0"/>
                <w:szCs w:val="22"/>
              </w:rPr>
              <w:t>Care Contracting Committee</w:t>
            </w:r>
          </w:p>
        </w:tc>
      </w:tr>
      <w:tr w:rsidR="008454B6" w:rsidRPr="008454B6" w14:paraId="17C842A1" w14:textId="77777777" w:rsidTr="002B5A68">
        <w:tc>
          <w:tcPr>
            <w:tcW w:w="4500" w:type="dxa"/>
            <w:shd w:val="clear" w:color="auto" w:fill="F2F2F2"/>
          </w:tcPr>
          <w:p w14:paraId="4E1FFCD5" w14:textId="77777777" w:rsidR="008454B6" w:rsidRPr="008454B6" w:rsidRDefault="008454B6" w:rsidP="002B5A68">
            <w:pPr>
              <w:spacing w:line="240" w:lineRule="auto"/>
              <w:rPr>
                <w:rFonts w:cs="Arial"/>
                <w:b/>
                <w:kern w:val="0"/>
                <w:szCs w:val="22"/>
              </w:rPr>
            </w:pPr>
            <w:r w:rsidRPr="008454B6">
              <w:rPr>
                <w:rFonts w:cs="Arial"/>
                <w:b/>
                <w:kern w:val="0"/>
                <w:szCs w:val="22"/>
              </w:rPr>
              <w:t>Approval date:</w:t>
            </w:r>
          </w:p>
        </w:tc>
        <w:tc>
          <w:tcPr>
            <w:tcW w:w="5139" w:type="dxa"/>
          </w:tcPr>
          <w:p w14:paraId="3C335171" w14:textId="77777777" w:rsidR="008454B6" w:rsidRPr="008454B6" w:rsidRDefault="003710E0" w:rsidP="002B5A68">
            <w:pPr>
              <w:spacing w:line="240" w:lineRule="auto"/>
              <w:rPr>
                <w:rFonts w:cs="Arial"/>
                <w:color w:val="FF0000"/>
                <w:kern w:val="0"/>
                <w:szCs w:val="22"/>
              </w:rPr>
            </w:pPr>
            <w:r w:rsidRPr="003710E0">
              <w:rPr>
                <w:rFonts w:cs="Arial"/>
                <w:kern w:val="0"/>
                <w:szCs w:val="22"/>
              </w:rPr>
              <w:t>10 December 2018</w:t>
            </w:r>
          </w:p>
        </w:tc>
      </w:tr>
      <w:tr w:rsidR="008454B6" w:rsidRPr="008454B6" w14:paraId="0DC8EE71" w14:textId="77777777" w:rsidTr="002B5A68">
        <w:tc>
          <w:tcPr>
            <w:tcW w:w="4500" w:type="dxa"/>
            <w:shd w:val="clear" w:color="auto" w:fill="F2F2F2"/>
          </w:tcPr>
          <w:p w14:paraId="35AE824E" w14:textId="31F82AFA" w:rsidR="008454B6" w:rsidRPr="008454B6" w:rsidRDefault="008454B6" w:rsidP="002B5A68">
            <w:pPr>
              <w:spacing w:line="240" w:lineRule="auto"/>
              <w:rPr>
                <w:rFonts w:cs="Arial"/>
                <w:b/>
                <w:kern w:val="0"/>
                <w:szCs w:val="22"/>
              </w:rPr>
            </w:pPr>
            <w:r w:rsidRPr="008454B6">
              <w:rPr>
                <w:rFonts w:cs="Arial"/>
                <w:b/>
                <w:kern w:val="0"/>
                <w:szCs w:val="22"/>
              </w:rPr>
              <w:t>Review date:</w:t>
            </w:r>
          </w:p>
        </w:tc>
        <w:tc>
          <w:tcPr>
            <w:tcW w:w="5139" w:type="dxa"/>
          </w:tcPr>
          <w:p w14:paraId="02C9AB9A" w14:textId="7B69B337" w:rsidR="008454B6" w:rsidRPr="008454B6" w:rsidRDefault="00697B5C" w:rsidP="002B5A68">
            <w:pPr>
              <w:spacing w:line="240" w:lineRule="auto"/>
              <w:rPr>
                <w:rFonts w:cs="Arial"/>
                <w:kern w:val="0"/>
                <w:szCs w:val="22"/>
              </w:rPr>
            </w:pPr>
            <w:r>
              <w:rPr>
                <w:rFonts w:cs="Arial"/>
                <w:kern w:val="0"/>
                <w:szCs w:val="22"/>
              </w:rPr>
              <w:t>1</w:t>
            </w:r>
            <w:r w:rsidR="009F2F9A">
              <w:rPr>
                <w:rFonts w:cs="Arial"/>
                <w:kern w:val="0"/>
                <w:szCs w:val="22"/>
              </w:rPr>
              <w:t xml:space="preserve"> </w:t>
            </w:r>
            <w:r w:rsidR="007B7C47">
              <w:rPr>
                <w:rFonts w:cs="Arial"/>
                <w:kern w:val="0"/>
                <w:szCs w:val="22"/>
              </w:rPr>
              <w:t>July 2022</w:t>
            </w:r>
          </w:p>
        </w:tc>
      </w:tr>
      <w:tr w:rsidR="008454B6" w:rsidRPr="008454B6" w14:paraId="6E7A19C6" w14:textId="77777777" w:rsidTr="002B5A68">
        <w:tc>
          <w:tcPr>
            <w:tcW w:w="4500" w:type="dxa"/>
            <w:shd w:val="clear" w:color="auto" w:fill="F2F2F2"/>
          </w:tcPr>
          <w:p w14:paraId="70702111" w14:textId="77777777" w:rsidR="008454B6" w:rsidRPr="008454B6" w:rsidRDefault="008454B6" w:rsidP="002B5A68">
            <w:pPr>
              <w:spacing w:line="240" w:lineRule="auto"/>
              <w:rPr>
                <w:rFonts w:cs="Arial"/>
                <w:b/>
                <w:kern w:val="0"/>
                <w:szCs w:val="22"/>
              </w:rPr>
            </w:pPr>
            <w:r w:rsidRPr="008454B6">
              <w:rPr>
                <w:rFonts w:cs="Arial"/>
                <w:b/>
                <w:kern w:val="0"/>
                <w:szCs w:val="22"/>
              </w:rPr>
              <w:t>Equality Impact Assessment Date:</w:t>
            </w:r>
          </w:p>
        </w:tc>
        <w:tc>
          <w:tcPr>
            <w:tcW w:w="5139" w:type="dxa"/>
          </w:tcPr>
          <w:p w14:paraId="18B18CFA" w14:textId="77777777" w:rsidR="008454B6" w:rsidRPr="008454B6" w:rsidRDefault="00557E12" w:rsidP="002B5A68">
            <w:pPr>
              <w:spacing w:line="240" w:lineRule="auto"/>
              <w:rPr>
                <w:rFonts w:cs="Arial"/>
                <w:kern w:val="0"/>
                <w:szCs w:val="22"/>
              </w:rPr>
            </w:pPr>
            <w:r>
              <w:rPr>
                <w:rFonts w:cs="Arial"/>
                <w:kern w:val="0"/>
                <w:szCs w:val="22"/>
              </w:rPr>
              <w:t>December 2018</w:t>
            </w:r>
          </w:p>
        </w:tc>
      </w:tr>
      <w:tr w:rsidR="008454B6" w:rsidRPr="008454B6" w14:paraId="6DA5EF8B" w14:textId="77777777" w:rsidTr="002B5A68">
        <w:trPr>
          <w:trHeight w:val="375"/>
        </w:trPr>
        <w:tc>
          <w:tcPr>
            <w:tcW w:w="4500" w:type="dxa"/>
            <w:shd w:val="clear" w:color="auto" w:fill="F2F2F2"/>
          </w:tcPr>
          <w:p w14:paraId="5D3BC1A8" w14:textId="77777777" w:rsidR="008454B6" w:rsidRPr="008454B6" w:rsidRDefault="008454B6" w:rsidP="002B5A68">
            <w:pPr>
              <w:spacing w:line="240" w:lineRule="auto"/>
              <w:rPr>
                <w:rFonts w:cs="Arial"/>
                <w:b/>
                <w:kern w:val="0"/>
                <w:szCs w:val="22"/>
              </w:rPr>
            </w:pPr>
            <w:r w:rsidRPr="008454B6">
              <w:rPr>
                <w:rFonts w:cs="Arial"/>
                <w:b/>
                <w:kern w:val="0"/>
                <w:szCs w:val="22"/>
              </w:rPr>
              <w:t>Target Audience:</w:t>
            </w:r>
          </w:p>
        </w:tc>
        <w:tc>
          <w:tcPr>
            <w:tcW w:w="5139" w:type="dxa"/>
          </w:tcPr>
          <w:p w14:paraId="58812644" w14:textId="77777777" w:rsidR="008454B6" w:rsidRPr="008454B6" w:rsidRDefault="00FA043A" w:rsidP="002B5A68">
            <w:pPr>
              <w:spacing w:line="240" w:lineRule="auto"/>
              <w:rPr>
                <w:rFonts w:cs="Arial"/>
                <w:kern w:val="0"/>
                <w:szCs w:val="22"/>
              </w:rPr>
            </w:pPr>
            <w:r>
              <w:rPr>
                <w:rFonts w:cs="Arial"/>
                <w:kern w:val="0"/>
                <w:szCs w:val="22"/>
              </w:rPr>
              <w:t>Public</w:t>
            </w:r>
          </w:p>
        </w:tc>
      </w:tr>
      <w:tr w:rsidR="008454B6" w:rsidRPr="008454B6" w14:paraId="1EE2B55A" w14:textId="77777777" w:rsidTr="002B5A68">
        <w:tc>
          <w:tcPr>
            <w:tcW w:w="4500" w:type="dxa"/>
            <w:shd w:val="clear" w:color="auto" w:fill="F2F2F2"/>
          </w:tcPr>
          <w:p w14:paraId="11E39678" w14:textId="77777777" w:rsidR="008454B6" w:rsidRPr="008454B6" w:rsidRDefault="008454B6" w:rsidP="002B5A68">
            <w:pPr>
              <w:spacing w:line="240" w:lineRule="auto"/>
              <w:rPr>
                <w:rFonts w:cs="Arial"/>
                <w:b/>
                <w:kern w:val="0"/>
                <w:szCs w:val="22"/>
              </w:rPr>
            </w:pPr>
            <w:r w:rsidRPr="008454B6">
              <w:rPr>
                <w:rFonts w:cs="Arial"/>
                <w:b/>
                <w:kern w:val="0"/>
                <w:szCs w:val="22"/>
              </w:rPr>
              <w:t>Dissemination:</w:t>
            </w:r>
          </w:p>
        </w:tc>
        <w:tc>
          <w:tcPr>
            <w:tcW w:w="5139" w:type="dxa"/>
          </w:tcPr>
          <w:p w14:paraId="63102D84" w14:textId="77777777" w:rsidR="008454B6" w:rsidRPr="008454B6" w:rsidRDefault="00FA043A" w:rsidP="002B5A68">
            <w:pPr>
              <w:spacing w:line="240" w:lineRule="auto"/>
              <w:rPr>
                <w:rFonts w:cs="Arial"/>
                <w:kern w:val="0"/>
                <w:szCs w:val="22"/>
              </w:rPr>
            </w:pPr>
            <w:r w:rsidRPr="00FA043A">
              <w:rPr>
                <w:rFonts w:cs="Arial"/>
                <w:kern w:val="0"/>
                <w:szCs w:val="22"/>
              </w:rPr>
              <w:t>CCG website, intranet and</w:t>
            </w:r>
            <w:r w:rsidR="008454B6" w:rsidRPr="008454B6">
              <w:rPr>
                <w:rFonts w:cs="Arial"/>
                <w:kern w:val="0"/>
                <w:szCs w:val="22"/>
              </w:rPr>
              <w:t xml:space="preserve"> Global</w:t>
            </w:r>
          </w:p>
          <w:p w14:paraId="7EAF1C6E" w14:textId="77777777" w:rsidR="008454B6" w:rsidRPr="008454B6" w:rsidRDefault="008454B6" w:rsidP="002B5A68">
            <w:pPr>
              <w:spacing w:line="240" w:lineRule="auto"/>
              <w:rPr>
                <w:rFonts w:cs="Arial"/>
                <w:i/>
                <w:color w:val="00B0F0"/>
                <w:kern w:val="0"/>
                <w:sz w:val="20"/>
                <w:szCs w:val="20"/>
              </w:rPr>
            </w:pPr>
            <w:r w:rsidRPr="008454B6">
              <w:rPr>
                <w:rFonts w:cs="Arial"/>
                <w:kern w:val="0"/>
                <w:szCs w:val="22"/>
              </w:rPr>
              <w:t xml:space="preserve"> newsletter</w:t>
            </w:r>
            <w:r w:rsidRPr="008454B6">
              <w:rPr>
                <w:rFonts w:cs="Arial"/>
                <w:i/>
                <w:color w:val="00B0F0"/>
                <w:kern w:val="0"/>
                <w:sz w:val="20"/>
                <w:szCs w:val="20"/>
              </w:rPr>
              <w:t xml:space="preserve"> </w:t>
            </w:r>
          </w:p>
        </w:tc>
      </w:tr>
    </w:tbl>
    <w:p w14:paraId="7A540E3D" w14:textId="77777777" w:rsidR="008454B6" w:rsidRPr="008454B6" w:rsidRDefault="008454B6" w:rsidP="008454B6">
      <w:pPr>
        <w:spacing w:after="200" w:line="276" w:lineRule="auto"/>
        <w:jc w:val="left"/>
        <w:rPr>
          <w:kern w:val="0"/>
          <w:szCs w:val="22"/>
        </w:rPr>
      </w:pPr>
    </w:p>
    <w:p w14:paraId="05B3447B" w14:textId="77777777" w:rsidR="008454B6" w:rsidRPr="008454B6" w:rsidRDefault="008454B6" w:rsidP="008454B6">
      <w:pPr>
        <w:spacing w:after="200" w:line="276" w:lineRule="auto"/>
        <w:jc w:val="left"/>
        <w:rPr>
          <w:kern w:val="0"/>
          <w:szCs w:val="22"/>
        </w:rPr>
      </w:pPr>
    </w:p>
    <w:p w14:paraId="4956E226" w14:textId="77777777" w:rsidR="00FA043A" w:rsidRDefault="00FA043A" w:rsidP="008454B6">
      <w:pPr>
        <w:spacing w:before="200" w:after="200" w:line="240" w:lineRule="auto"/>
        <w:rPr>
          <w:rFonts w:cs="Arial"/>
          <w:b/>
          <w:color w:val="000000"/>
          <w:kern w:val="0"/>
          <w:szCs w:val="22"/>
        </w:rPr>
      </w:pPr>
    </w:p>
    <w:p w14:paraId="252E9FE0" w14:textId="77777777" w:rsidR="00FA043A" w:rsidRDefault="00FA043A" w:rsidP="008454B6">
      <w:pPr>
        <w:spacing w:before="200" w:after="200" w:line="240" w:lineRule="auto"/>
        <w:rPr>
          <w:rFonts w:cs="Arial"/>
          <w:b/>
          <w:color w:val="000000"/>
          <w:kern w:val="0"/>
          <w:szCs w:val="22"/>
        </w:rPr>
      </w:pPr>
    </w:p>
    <w:tbl>
      <w:tblPr>
        <w:tblpPr w:leftFromText="180" w:rightFromText="180" w:vertAnchor="text" w:horzAnchor="margin" w:tblpY="-3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6804"/>
        <w:gridCol w:w="1701"/>
      </w:tblGrid>
      <w:tr w:rsidR="002B5A68" w:rsidRPr="008454B6" w14:paraId="40CE25FE" w14:textId="77777777" w:rsidTr="002B5A68">
        <w:tc>
          <w:tcPr>
            <w:tcW w:w="1101" w:type="dxa"/>
            <w:shd w:val="clear" w:color="auto" w:fill="F2F2F2"/>
          </w:tcPr>
          <w:p w14:paraId="08B82693" w14:textId="77777777" w:rsidR="002B5A68" w:rsidRPr="008454B6" w:rsidRDefault="002B5A68" w:rsidP="002B5A68">
            <w:pPr>
              <w:spacing w:line="240" w:lineRule="auto"/>
              <w:jc w:val="center"/>
              <w:rPr>
                <w:rFonts w:cs="Arial"/>
                <w:b/>
                <w:kern w:val="0"/>
                <w:szCs w:val="22"/>
              </w:rPr>
            </w:pPr>
            <w:r w:rsidRPr="008454B6">
              <w:rPr>
                <w:rFonts w:cs="Arial"/>
                <w:b/>
                <w:kern w:val="0"/>
                <w:szCs w:val="22"/>
              </w:rPr>
              <w:t>Version</w:t>
            </w:r>
          </w:p>
        </w:tc>
        <w:tc>
          <w:tcPr>
            <w:tcW w:w="6804" w:type="dxa"/>
            <w:shd w:val="clear" w:color="auto" w:fill="F2F2F2"/>
          </w:tcPr>
          <w:p w14:paraId="1BAC92D9" w14:textId="77777777" w:rsidR="002B5A68" w:rsidRPr="008454B6" w:rsidRDefault="002B5A68" w:rsidP="002B5A68">
            <w:pPr>
              <w:spacing w:line="240" w:lineRule="auto"/>
              <w:jc w:val="center"/>
              <w:rPr>
                <w:rFonts w:cs="Arial"/>
                <w:b/>
                <w:kern w:val="0"/>
                <w:szCs w:val="22"/>
              </w:rPr>
            </w:pPr>
            <w:r w:rsidRPr="008454B6">
              <w:rPr>
                <w:rFonts w:cs="Arial"/>
                <w:b/>
                <w:kern w:val="0"/>
                <w:szCs w:val="22"/>
              </w:rPr>
              <w:t xml:space="preserve">Description of Amendments </w:t>
            </w:r>
          </w:p>
        </w:tc>
        <w:tc>
          <w:tcPr>
            <w:tcW w:w="1701" w:type="dxa"/>
            <w:shd w:val="clear" w:color="auto" w:fill="F2F2F2"/>
          </w:tcPr>
          <w:p w14:paraId="468A4036" w14:textId="77777777" w:rsidR="002B5A68" w:rsidRPr="008454B6" w:rsidRDefault="002B5A68" w:rsidP="002B5A68">
            <w:pPr>
              <w:spacing w:line="240" w:lineRule="auto"/>
              <w:jc w:val="center"/>
              <w:rPr>
                <w:rFonts w:cs="Arial"/>
                <w:b/>
                <w:kern w:val="0"/>
                <w:szCs w:val="22"/>
              </w:rPr>
            </w:pPr>
            <w:r w:rsidRPr="008454B6">
              <w:rPr>
                <w:rFonts w:cs="Arial"/>
                <w:b/>
                <w:kern w:val="0"/>
                <w:szCs w:val="22"/>
              </w:rPr>
              <w:t xml:space="preserve">Date </w:t>
            </w:r>
          </w:p>
        </w:tc>
      </w:tr>
      <w:tr w:rsidR="002B5A68" w:rsidRPr="008454B6" w14:paraId="69900AC2" w14:textId="77777777" w:rsidTr="002B5A68">
        <w:tc>
          <w:tcPr>
            <w:tcW w:w="1101" w:type="dxa"/>
          </w:tcPr>
          <w:p w14:paraId="3F945AF7" w14:textId="77777777" w:rsidR="002B5A68" w:rsidRPr="008454B6" w:rsidRDefault="002B5A68" w:rsidP="002B5A68">
            <w:pPr>
              <w:spacing w:line="240" w:lineRule="auto"/>
              <w:jc w:val="center"/>
              <w:rPr>
                <w:rFonts w:cs="Arial"/>
                <w:kern w:val="0"/>
                <w:szCs w:val="22"/>
              </w:rPr>
            </w:pPr>
            <w:r>
              <w:rPr>
                <w:rFonts w:cs="Arial"/>
                <w:kern w:val="0"/>
                <w:szCs w:val="22"/>
              </w:rPr>
              <w:t>1.0</w:t>
            </w:r>
          </w:p>
        </w:tc>
        <w:tc>
          <w:tcPr>
            <w:tcW w:w="6804" w:type="dxa"/>
          </w:tcPr>
          <w:p w14:paraId="39727977" w14:textId="77777777" w:rsidR="002B5A68" w:rsidRPr="008454B6" w:rsidRDefault="002B5A68" w:rsidP="002B5A68">
            <w:pPr>
              <w:spacing w:line="240" w:lineRule="auto"/>
              <w:jc w:val="left"/>
              <w:rPr>
                <w:rFonts w:cs="Arial"/>
                <w:kern w:val="0"/>
                <w:szCs w:val="22"/>
              </w:rPr>
            </w:pPr>
            <w:r>
              <w:rPr>
                <w:rFonts w:cs="Arial"/>
                <w:kern w:val="0"/>
                <w:szCs w:val="22"/>
              </w:rPr>
              <w:t>New policy</w:t>
            </w:r>
          </w:p>
        </w:tc>
        <w:tc>
          <w:tcPr>
            <w:tcW w:w="1701" w:type="dxa"/>
          </w:tcPr>
          <w:p w14:paraId="77AAABDC" w14:textId="77777777" w:rsidR="002B5A68" w:rsidRPr="008454B6" w:rsidRDefault="00BD73C7" w:rsidP="002B5A68">
            <w:pPr>
              <w:spacing w:line="240" w:lineRule="auto"/>
              <w:jc w:val="center"/>
              <w:rPr>
                <w:rFonts w:cs="Arial"/>
                <w:kern w:val="0"/>
                <w:szCs w:val="22"/>
              </w:rPr>
            </w:pPr>
            <w:r>
              <w:rPr>
                <w:rFonts w:cs="Arial"/>
                <w:kern w:val="0"/>
                <w:szCs w:val="22"/>
              </w:rPr>
              <w:t>16/11</w:t>
            </w:r>
            <w:r w:rsidR="00557E12">
              <w:rPr>
                <w:rFonts w:cs="Arial"/>
                <w:kern w:val="0"/>
                <w:szCs w:val="22"/>
              </w:rPr>
              <w:t>/2018</w:t>
            </w:r>
          </w:p>
        </w:tc>
      </w:tr>
      <w:tr w:rsidR="002B5A68" w:rsidRPr="008454B6" w14:paraId="7D32E057" w14:textId="77777777" w:rsidTr="002B5A68">
        <w:tc>
          <w:tcPr>
            <w:tcW w:w="1101" w:type="dxa"/>
          </w:tcPr>
          <w:p w14:paraId="55F9ADC9" w14:textId="77777777" w:rsidR="002B5A68" w:rsidRPr="008454B6" w:rsidRDefault="009F2F9A" w:rsidP="002B5A68">
            <w:pPr>
              <w:spacing w:line="240" w:lineRule="auto"/>
              <w:jc w:val="center"/>
              <w:rPr>
                <w:rFonts w:cs="Arial"/>
                <w:kern w:val="0"/>
                <w:szCs w:val="22"/>
              </w:rPr>
            </w:pPr>
            <w:r>
              <w:rPr>
                <w:rFonts w:cs="Arial"/>
                <w:kern w:val="0"/>
                <w:szCs w:val="22"/>
              </w:rPr>
              <w:t>2.0</w:t>
            </w:r>
          </w:p>
        </w:tc>
        <w:tc>
          <w:tcPr>
            <w:tcW w:w="6804" w:type="dxa"/>
          </w:tcPr>
          <w:p w14:paraId="668CD4C7" w14:textId="0E079E17" w:rsidR="002B5A68" w:rsidRPr="008454B6" w:rsidRDefault="00697B5C" w:rsidP="002B5A68">
            <w:pPr>
              <w:spacing w:line="240" w:lineRule="auto"/>
              <w:jc w:val="left"/>
              <w:rPr>
                <w:rFonts w:cs="Arial"/>
                <w:kern w:val="0"/>
                <w:szCs w:val="22"/>
              </w:rPr>
            </w:pPr>
            <w:r>
              <w:rPr>
                <w:rFonts w:cs="Arial"/>
                <w:kern w:val="0"/>
                <w:szCs w:val="22"/>
              </w:rPr>
              <w:t>Minor amendments</w:t>
            </w:r>
          </w:p>
        </w:tc>
        <w:tc>
          <w:tcPr>
            <w:tcW w:w="1701" w:type="dxa"/>
          </w:tcPr>
          <w:p w14:paraId="43CBD18D" w14:textId="0965DE9B" w:rsidR="002B5A68" w:rsidRPr="008454B6" w:rsidRDefault="00697B5C" w:rsidP="002B5A68">
            <w:pPr>
              <w:spacing w:line="240" w:lineRule="auto"/>
              <w:jc w:val="center"/>
              <w:rPr>
                <w:rFonts w:cs="Arial"/>
                <w:kern w:val="0"/>
                <w:szCs w:val="22"/>
              </w:rPr>
            </w:pPr>
            <w:r>
              <w:rPr>
                <w:rFonts w:cs="Arial"/>
                <w:kern w:val="0"/>
                <w:szCs w:val="22"/>
              </w:rPr>
              <w:t>09/12/2019</w:t>
            </w:r>
          </w:p>
        </w:tc>
      </w:tr>
      <w:tr w:rsidR="002B5A68" w:rsidRPr="008454B6" w14:paraId="1FD1F6A6" w14:textId="77777777" w:rsidTr="002B5A68">
        <w:tc>
          <w:tcPr>
            <w:tcW w:w="1101" w:type="dxa"/>
          </w:tcPr>
          <w:p w14:paraId="23D56CCF" w14:textId="7F5ABF37" w:rsidR="002B5A68" w:rsidRPr="008454B6" w:rsidRDefault="007B7C47" w:rsidP="002B5A68">
            <w:pPr>
              <w:spacing w:line="240" w:lineRule="auto"/>
              <w:jc w:val="center"/>
              <w:rPr>
                <w:rFonts w:cs="Arial"/>
                <w:kern w:val="0"/>
                <w:szCs w:val="22"/>
              </w:rPr>
            </w:pPr>
            <w:r>
              <w:rPr>
                <w:rFonts w:cs="Arial"/>
                <w:kern w:val="0"/>
                <w:szCs w:val="22"/>
              </w:rPr>
              <w:t>3.0</w:t>
            </w:r>
          </w:p>
        </w:tc>
        <w:tc>
          <w:tcPr>
            <w:tcW w:w="6804" w:type="dxa"/>
          </w:tcPr>
          <w:p w14:paraId="4DBBF6C6" w14:textId="32FA95B3" w:rsidR="002B5A68" w:rsidRPr="008454B6" w:rsidRDefault="007B7C47" w:rsidP="002B5A68">
            <w:pPr>
              <w:spacing w:line="240" w:lineRule="auto"/>
              <w:jc w:val="left"/>
              <w:rPr>
                <w:rFonts w:cs="Arial"/>
                <w:kern w:val="0"/>
                <w:szCs w:val="22"/>
              </w:rPr>
            </w:pPr>
            <w:r>
              <w:rPr>
                <w:rFonts w:cs="Arial"/>
                <w:kern w:val="0"/>
                <w:szCs w:val="22"/>
              </w:rPr>
              <w:t>No legislative changes – review date extended by 6 months</w:t>
            </w:r>
          </w:p>
        </w:tc>
        <w:tc>
          <w:tcPr>
            <w:tcW w:w="1701" w:type="dxa"/>
          </w:tcPr>
          <w:p w14:paraId="3EF6DEE6" w14:textId="4A5EC67C" w:rsidR="002B5A68" w:rsidRPr="008454B6" w:rsidRDefault="007B7C47" w:rsidP="002B5A68">
            <w:pPr>
              <w:spacing w:line="240" w:lineRule="auto"/>
              <w:jc w:val="center"/>
              <w:rPr>
                <w:rFonts w:cs="Arial"/>
                <w:kern w:val="0"/>
                <w:szCs w:val="22"/>
              </w:rPr>
            </w:pPr>
            <w:r>
              <w:rPr>
                <w:rFonts w:cs="Arial"/>
                <w:kern w:val="0"/>
                <w:szCs w:val="22"/>
              </w:rPr>
              <w:t>11/01/2022</w:t>
            </w:r>
          </w:p>
        </w:tc>
      </w:tr>
      <w:tr w:rsidR="002B5A68" w:rsidRPr="008454B6" w14:paraId="6A208176" w14:textId="77777777" w:rsidTr="002B5A68">
        <w:tc>
          <w:tcPr>
            <w:tcW w:w="1101" w:type="dxa"/>
          </w:tcPr>
          <w:p w14:paraId="54EFF0A8" w14:textId="77777777" w:rsidR="002B5A68" w:rsidRPr="008454B6" w:rsidRDefault="002B5A68" w:rsidP="002B5A68">
            <w:pPr>
              <w:spacing w:line="240" w:lineRule="auto"/>
              <w:jc w:val="center"/>
              <w:rPr>
                <w:rFonts w:cs="Arial"/>
                <w:kern w:val="0"/>
                <w:szCs w:val="22"/>
              </w:rPr>
            </w:pPr>
          </w:p>
        </w:tc>
        <w:tc>
          <w:tcPr>
            <w:tcW w:w="6804" w:type="dxa"/>
          </w:tcPr>
          <w:p w14:paraId="13F03945" w14:textId="77777777" w:rsidR="002B5A68" w:rsidRPr="008454B6" w:rsidRDefault="002B5A68" w:rsidP="002B5A68">
            <w:pPr>
              <w:spacing w:line="240" w:lineRule="auto"/>
              <w:jc w:val="left"/>
              <w:rPr>
                <w:rFonts w:cs="Arial"/>
                <w:kern w:val="0"/>
                <w:szCs w:val="22"/>
              </w:rPr>
            </w:pPr>
          </w:p>
        </w:tc>
        <w:tc>
          <w:tcPr>
            <w:tcW w:w="1701" w:type="dxa"/>
          </w:tcPr>
          <w:p w14:paraId="01D1D68D" w14:textId="77777777" w:rsidR="002B5A68" w:rsidRPr="008454B6" w:rsidRDefault="002B5A68" w:rsidP="002B5A68">
            <w:pPr>
              <w:spacing w:line="240" w:lineRule="auto"/>
              <w:jc w:val="center"/>
              <w:rPr>
                <w:rFonts w:cs="Arial"/>
                <w:kern w:val="0"/>
                <w:szCs w:val="22"/>
              </w:rPr>
            </w:pPr>
          </w:p>
        </w:tc>
      </w:tr>
      <w:tr w:rsidR="002B5A68" w:rsidRPr="008454B6" w14:paraId="21C75525" w14:textId="77777777" w:rsidTr="002B5A68">
        <w:tc>
          <w:tcPr>
            <w:tcW w:w="1101" w:type="dxa"/>
          </w:tcPr>
          <w:p w14:paraId="7C138C71" w14:textId="77777777" w:rsidR="002B5A68" w:rsidRPr="008454B6" w:rsidRDefault="002B5A68" w:rsidP="002B5A68">
            <w:pPr>
              <w:spacing w:line="240" w:lineRule="auto"/>
              <w:jc w:val="center"/>
              <w:rPr>
                <w:rFonts w:cs="Arial"/>
                <w:kern w:val="0"/>
                <w:szCs w:val="22"/>
              </w:rPr>
            </w:pPr>
          </w:p>
        </w:tc>
        <w:tc>
          <w:tcPr>
            <w:tcW w:w="6804" w:type="dxa"/>
          </w:tcPr>
          <w:p w14:paraId="14FFD692" w14:textId="77777777" w:rsidR="002B5A68" w:rsidRPr="008454B6" w:rsidRDefault="002B5A68" w:rsidP="002B5A68">
            <w:pPr>
              <w:spacing w:line="240" w:lineRule="auto"/>
              <w:jc w:val="left"/>
              <w:rPr>
                <w:rFonts w:cs="Arial"/>
                <w:kern w:val="0"/>
                <w:szCs w:val="22"/>
              </w:rPr>
            </w:pPr>
          </w:p>
        </w:tc>
        <w:tc>
          <w:tcPr>
            <w:tcW w:w="1701" w:type="dxa"/>
          </w:tcPr>
          <w:p w14:paraId="35D75AE8" w14:textId="77777777" w:rsidR="002B5A68" w:rsidRPr="008454B6" w:rsidRDefault="002B5A68" w:rsidP="002B5A68">
            <w:pPr>
              <w:spacing w:line="240" w:lineRule="auto"/>
              <w:jc w:val="center"/>
              <w:rPr>
                <w:rFonts w:cs="Arial"/>
                <w:kern w:val="0"/>
                <w:szCs w:val="22"/>
              </w:rPr>
            </w:pPr>
          </w:p>
        </w:tc>
      </w:tr>
      <w:tr w:rsidR="002B5A68" w:rsidRPr="008454B6" w14:paraId="1CC18EBB" w14:textId="77777777" w:rsidTr="002B5A68">
        <w:tc>
          <w:tcPr>
            <w:tcW w:w="1101" w:type="dxa"/>
          </w:tcPr>
          <w:p w14:paraId="771A1E44" w14:textId="77777777" w:rsidR="002B5A68" w:rsidRPr="008454B6" w:rsidRDefault="002B5A68" w:rsidP="002B5A68">
            <w:pPr>
              <w:spacing w:line="240" w:lineRule="auto"/>
              <w:jc w:val="center"/>
              <w:rPr>
                <w:rFonts w:cs="Arial"/>
                <w:kern w:val="0"/>
                <w:szCs w:val="22"/>
              </w:rPr>
            </w:pPr>
          </w:p>
        </w:tc>
        <w:tc>
          <w:tcPr>
            <w:tcW w:w="6804" w:type="dxa"/>
          </w:tcPr>
          <w:p w14:paraId="40080EE3" w14:textId="77777777" w:rsidR="002B5A68" w:rsidRPr="008454B6" w:rsidRDefault="002B5A68" w:rsidP="002B5A68">
            <w:pPr>
              <w:spacing w:line="240" w:lineRule="auto"/>
              <w:jc w:val="left"/>
              <w:rPr>
                <w:rFonts w:cs="Arial"/>
                <w:kern w:val="0"/>
                <w:szCs w:val="22"/>
              </w:rPr>
            </w:pPr>
          </w:p>
        </w:tc>
        <w:tc>
          <w:tcPr>
            <w:tcW w:w="1701" w:type="dxa"/>
          </w:tcPr>
          <w:p w14:paraId="103001CB" w14:textId="77777777" w:rsidR="002B5A68" w:rsidRPr="008454B6" w:rsidRDefault="002B5A68" w:rsidP="002B5A68">
            <w:pPr>
              <w:spacing w:line="240" w:lineRule="auto"/>
              <w:jc w:val="center"/>
              <w:rPr>
                <w:rFonts w:cs="Arial"/>
                <w:kern w:val="0"/>
                <w:szCs w:val="22"/>
              </w:rPr>
            </w:pPr>
          </w:p>
        </w:tc>
      </w:tr>
    </w:tbl>
    <w:p w14:paraId="488D686F" w14:textId="77777777" w:rsidR="002B5A68" w:rsidRDefault="002B5A68" w:rsidP="008454B6">
      <w:pPr>
        <w:spacing w:before="200" w:after="200" w:line="240" w:lineRule="auto"/>
        <w:rPr>
          <w:rFonts w:cs="Arial"/>
          <w:b/>
          <w:color w:val="000000"/>
          <w:kern w:val="0"/>
          <w:szCs w:val="22"/>
        </w:rPr>
      </w:pPr>
    </w:p>
    <w:p w14:paraId="73EC559E" w14:textId="77777777" w:rsidR="002B5A68" w:rsidRDefault="002B5A68" w:rsidP="008454B6">
      <w:pPr>
        <w:spacing w:before="200" w:after="200" w:line="240" w:lineRule="auto"/>
        <w:rPr>
          <w:rFonts w:cs="Arial"/>
          <w:b/>
          <w:color w:val="000000"/>
          <w:kern w:val="0"/>
          <w:szCs w:val="22"/>
        </w:rPr>
      </w:pPr>
    </w:p>
    <w:p w14:paraId="4C9D92CC" w14:textId="77777777" w:rsidR="00FA043A" w:rsidRDefault="00FA043A" w:rsidP="008454B6">
      <w:pPr>
        <w:spacing w:before="200" w:after="200" w:line="240" w:lineRule="auto"/>
        <w:rPr>
          <w:rFonts w:cs="Arial"/>
          <w:b/>
          <w:color w:val="000000"/>
          <w:kern w:val="0"/>
          <w:szCs w:val="22"/>
        </w:rPr>
      </w:pPr>
    </w:p>
    <w:p w14:paraId="54157473" w14:textId="77777777" w:rsidR="002B5A68" w:rsidRDefault="002B5A68" w:rsidP="008454B6">
      <w:pPr>
        <w:spacing w:before="200" w:after="200" w:line="240" w:lineRule="auto"/>
        <w:rPr>
          <w:rFonts w:cs="Arial"/>
          <w:b/>
          <w:color w:val="000000"/>
          <w:kern w:val="0"/>
          <w:szCs w:val="22"/>
        </w:rPr>
      </w:pPr>
    </w:p>
    <w:p w14:paraId="56213F89" w14:textId="77777777" w:rsidR="002B5A68" w:rsidRDefault="002B5A68" w:rsidP="008454B6">
      <w:pPr>
        <w:spacing w:before="200" w:after="200" w:line="240" w:lineRule="auto"/>
        <w:rPr>
          <w:rFonts w:cs="Arial"/>
          <w:b/>
          <w:color w:val="000000"/>
          <w:kern w:val="0"/>
          <w:szCs w:val="22"/>
        </w:rPr>
      </w:pPr>
    </w:p>
    <w:p w14:paraId="548F49DA" w14:textId="77777777" w:rsidR="002B5A68" w:rsidRDefault="002B5A68" w:rsidP="008454B6">
      <w:pPr>
        <w:spacing w:before="200" w:after="200" w:line="240" w:lineRule="auto"/>
        <w:rPr>
          <w:rFonts w:cs="Arial"/>
          <w:b/>
          <w:color w:val="000000"/>
          <w:kern w:val="0"/>
          <w:szCs w:val="22"/>
        </w:rPr>
      </w:pPr>
    </w:p>
    <w:p w14:paraId="18111D4B" w14:textId="77777777" w:rsidR="002B5A68" w:rsidRDefault="002B5A68" w:rsidP="008454B6">
      <w:pPr>
        <w:spacing w:before="200" w:after="200" w:line="240" w:lineRule="auto"/>
        <w:rPr>
          <w:rFonts w:cs="Arial"/>
          <w:b/>
          <w:color w:val="000000"/>
          <w:kern w:val="0"/>
          <w:szCs w:val="22"/>
        </w:rPr>
      </w:pPr>
    </w:p>
    <w:p w14:paraId="639D8BB4" w14:textId="77777777" w:rsidR="008454B6" w:rsidRPr="008454B6" w:rsidRDefault="008454B6" w:rsidP="008454B6">
      <w:pPr>
        <w:spacing w:before="200" w:after="200" w:line="240" w:lineRule="auto"/>
        <w:rPr>
          <w:color w:val="FF0000"/>
          <w:kern w:val="0"/>
        </w:rPr>
      </w:pPr>
      <w:r w:rsidRPr="008454B6">
        <w:rPr>
          <w:rFonts w:cs="Arial"/>
          <w:b/>
          <w:color w:val="000000"/>
          <w:kern w:val="0"/>
          <w:szCs w:val="22"/>
        </w:rPr>
        <w:t>The on-line version is the only version that is maintained and valid.  If this document has been printed or saved to another location, the reader must check that the version number matches that of the on-line version.</w:t>
      </w:r>
    </w:p>
    <w:p w14:paraId="2E0560D8" w14:textId="5FFCAEB7" w:rsidR="008454B6" w:rsidRDefault="008454B6" w:rsidP="00172C11">
      <w:pPr>
        <w:suppressAutoHyphens/>
        <w:spacing w:line="240" w:lineRule="auto"/>
        <w:jc w:val="left"/>
        <w:rPr>
          <w:rFonts w:eastAsia="Calibri" w:cs="Arial"/>
          <w:color w:val="000000"/>
          <w:kern w:val="2"/>
          <w:szCs w:val="22"/>
          <w:lang w:eastAsia="en-US"/>
        </w:rPr>
      </w:pPr>
    </w:p>
    <w:p w14:paraId="7BC78B4D" w14:textId="31380D99" w:rsidR="00697B5C" w:rsidRDefault="00697B5C" w:rsidP="00172C11">
      <w:pPr>
        <w:suppressAutoHyphens/>
        <w:spacing w:line="240" w:lineRule="auto"/>
        <w:jc w:val="left"/>
        <w:rPr>
          <w:rFonts w:eastAsia="Calibri" w:cs="Arial"/>
          <w:color w:val="000000"/>
          <w:kern w:val="2"/>
          <w:szCs w:val="22"/>
          <w:lang w:eastAsia="en-US"/>
        </w:rPr>
      </w:pPr>
    </w:p>
    <w:p w14:paraId="4E6E6D8A" w14:textId="6AE22B37" w:rsidR="00697B5C" w:rsidRDefault="00697B5C" w:rsidP="00172C11">
      <w:pPr>
        <w:suppressAutoHyphens/>
        <w:spacing w:line="240" w:lineRule="auto"/>
        <w:jc w:val="left"/>
        <w:rPr>
          <w:rFonts w:eastAsia="Calibri" w:cs="Arial"/>
          <w:color w:val="000000"/>
          <w:kern w:val="2"/>
          <w:szCs w:val="22"/>
          <w:lang w:eastAsia="en-US"/>
        </w:rPr>
      </w:pPr>
    </w:p>
    <w:p w14:paraId="01A0C2D0" w14:textId="3B4909D8" w:rsidR="00697B5C" w:rsidRDefault="00697B5C" w:rsidP="00172C11">
      <w:pPr>
        <w:suppressAutoHyphens/>
        <w:spacing w:line="240" w:lineRule="auto"/>
        <w:jc w:val="left"/>
        <w:rPr>
          <w:rFonts w:eastAsia="Calibri" w:cs="Arial"/>
          <w:color w:val="000000"/>
          <w:kern w:val="2"/>
          <w:szCs w:val="22"/>
          <w:lang w:eastAsia="en-US"/>
        </w:rPr>
      </w:pPr>
    </w:p>
    <w:p w14:paraId="7C0B89D1" w14:textId="77777777" w:rsidR="00697B5C" w:rsidRDefault="00697B5C" w:rsidP="00172C11">
      <w:pPr>
        <w:suppressAutoHyphens/>
        <w:spacing w:line="240" w:lineRule="auto"/>
        <w:jc w:val="left"/>
        <w:rPr>
          <w:rFonts w:eastAsia="Calibri" w:cs="Arial"/>
          <w:color w:val="000000"/>
          <w:kern w:val="2"/>
          <w:szCs w:val="22"/>
          <w:lang w:eastAsia="en-US"/>
        </w:rPr>
      </w:pPr>
    </w:p>
    <w:p w14:paraId="1F60F9E4" w14:textId="77777777" w:rsidR="002158E4" w:rsidRDefault="002158E4" w:rsidP="00172C11">
      <w:pPr>
        <w:suppressAutoHyphens/>
        <w:spacing w:line="240" w:lineRule="auto"/>
        <w:jc w:val="left"/>
        <w:rPr>
          <w:rFonts w:eastAsia="Calibri" w:cs="Arial"/>
          <w:color w:val="000000"/>
          <w:kern w:val="2"/>
          <w:szCs w:val="22"/>
          <w:lang w:eastAsia="en-US"/>
        </w:rPr>
      </w:pPr>
    </w:p>
    <w:p w14:paraId="665F54E0" w14:textId="77777777" w:rsidR="002158E4" w:rsidRDefault="002158E4" w:rsidP="00172C11">
      <w:pPr>
        <w:suppressAutoHyphens/>
        <w:spacing w:line="240" w:lineRule="auto"/>
        <w:jc w:val="left"/>
        <w:rPr>
          <w:rFonts w:eastAsia="Calibri" w:cs="Arial"/>
          <w:color w:val="000000"/>
          <w:kern w:val="2"/>
          <w:szCs w:val="22"/>
          <w:lang w:eastAsia="en-US"/>
        </w:rPr>
      </w:pPr>
    </w:p>
    <w:p w14:paraId="7248064A" w14:textId="77777777" w:rsidR="002158E4" w:rsidRDefault="002158E4" w:rsidP="00172C11">
      <w:pPr>
        <w:suppressAutoHyphens/>
        <w:spacing w:line="240" w:lineRule="auto"/>
        <w:jc w:val="left"/>
        <w:rPr>
          <w:rFonts w:eastAsia="Calibri" w:cs="Arial"/>
          <w:color w:val="000000"/>
          <w:kern w:val="2"/>
          <w:szCs w:val="22"/>
          <w:lang w:eastAsia="en-US"/>
        </w:rPr>
      </w:pPr>
    </w:p>
    <w:p w14:paraId="50263AD2" w14:textId="77777777" w:rsidR="00035545" w:rsidRPr="00EF2FB2" w:rsidRDefault="00035545" w:rsidP="00EF2FB2">
      <w:pPr>
        <w:pStyle w:val="TOCHeading"/>
      </w:pPr>
      <w:r w:rsidRPr="00EF2FB2">
        <w:lastRenderedPageBreak/>
        <w:t>Contents</w:t>
      </w:r>
    </w:p>
    <w:p w14:paraId="65AB6088" w14:textId="77777777" w:rsidR="00EF2FB2" w:rsidRPr="00EF2FB2" w:rsidRDefault="00EF2FB2" w:rsidP="00EF2FB2">
      <w:pPr>
        <w:rPr>
          <w:lang w:val="en-US" w:eastAsia="ja-JP"/>
        </w:rPr>
      </w:pPr>
    </w:p>
    <w:p w14:paraId="63A21316" w14:textId="693B1D03" w:rsidR="00917A91" w:rsidRDefault="00035545">
      <w:pPr>
        <w:pStyle w:val="TOC1"/>
        <w:rPr>
          <w:rFonts w:asciiTheme="minorHAnsi" w:eastAsiaTheme="minorEastAsia" w:hAnsiTheme="minorHAnsi" w:cstheme="minorBidi"/>
          <w:noProof/>
          <w:kern w:val="0"/>
          <w:szCs w:val="22"/>
        </w:rPr>
      </w:pPr>
      <w:r w:rsidRPr="00EF2FB2">
        <w:rPr>
          <w:sz w:val="20"/>
        </w:rPr>
        <w:fldChar w:fldCharType="begin"/>
      </w:r>
      <w:r w:rsidRPr="00EF2FB2">
        <w:rPr>
          <w:sz w:val="20"/>
        </w:rPr>
        <w:instrText xml:space="preserve"> TOC \o "1-3" \h \z \u </w:instrText>
      </w:r>
      <w:r w:rsidRPr="00EF2FB2">
        <w:rPr>
          <w:sz w:val="20"/>
        </w:rPr>
        <w:fldChar w:fldCharType="separate"/>
      </w:r>
      <w:hyperlink w:anchor="_Toc26875366" w:history="1">
        <w:r w:rsidR="00917A91" w:rsidRPr="00E60BE9">
          <w:rPr>
            <w:rStyle w:val="Hyperlink"/>
            <w:noProof/>
          </w:rPr>
          <w:t>1.  INTRODUCTION</w:t>
        </w:r>
        <w:r w:rsidR="00917A91">
          <w:rPr>
            <w:noProof/>
            <w:webHidden/>
          </w:rPr>
          <w:tab/>
        </w:r>
        <w:r w:rsidR="00917A91">
          <w:rPr>
            <w:noProof/>
            <w:webHidden/>
          </w:rPr>
          <w:fldChar w:fldCharType="begin"/>
        </w:r>
        <w:r w:rsidR="00917A91">
          <w:rPr>
            <w:noProof/>
            <w:webHidden/>
          </w:rPr>
          <w:instrText xml:space="preserve"> PAGEREF _Toc26875366 \h </w:instrText>
        </w:r>
        <w:r w:rsidR="00917A91">
          <w:rPr>
            <w:noProof/>
            <w:webHidden/>
          </w:rPr>
        </w:r>
        <w:r w:rsidR="00917A91">
          <w:rPr>
            <w:noProof/>
            <w:webHidden/>
          </w:rPr>
          <w:fldChar w:fldCharType="separate"/>
        </w:r>
        <w:r w:rsidR="00F565A3">
          <w:rPr>
            <w:noProof/>
            <w:webHidden/>
          </w:rPr>
          <w:t>4</w:t>
        </w:r>
        <w:r w:rsidR="00917A91">
          <w:rPr>
            <w:noProof/>
            <w:webHidden/>
          </w:rPr>
          <w:fldChar w:fldCharType="end"/>
        </w:r>
      </w:hyperlink>
    </w:p>
    <w:p w14:paraId="5BC31825" w14:textId="51FFBC06" w:rsidR="00917A91" w:rsidRDefault="007B7C47">
      <w:pPr>
        <w:pStyle w:val="TOC1"/>
        <w:rPr>
          <w:rFonts w:asciiTheme="minorHAnsi" w:eastAsiaTheme="minorEastAsia" w:hAnsiTheme="minorHAnsi" w:cstheme="minorBidi"/>
          <w:noProof/>
          <w:kern w:val="0"/>
          <w:szCs w:val="22"/>
        </w:rPr>
      </w:pPr>
      <w:hyperlink w:anchor="_Toc26875367" w:history="1">
        <w:r w:rsidR="00917A91" w:rsidRPr="00E60BE9">
          <w:rPr>
            <w:rStyle w:val="Hyperlink"/>
            <w:noProof/>
            <w:lang w:eastAsia="en-US"/>
          </w:rPr>
          <w:t>2.  SCOPE</w:t>
        </w:r>
        <w:r w:rsidR="00917A91">
          <w:rPr>
            <w:noProof/>
            <w:webHidden/>
          </w:rPr>
          <w:tab/>
        </w:r>
        <w:r w:rsidR="00917A91">
          <w:rPr>
            <w:noProof/>
            <w:webHidden/>
          </w:rPr>
          <w:fldChar w:fldCharType="begin"/>
        </w:r>
        <w:r w:rsidR="00917A91">
          <w:rPr>
            <w:noProof/>
            <w:webHidden/>
          </w:rPr>
          <w:instrText xml:space="preserve"> PAGEREF _Toc26875367 \h </w:instrText>
        </w:r>
        <w:r w:rsidR="00917A91">
          <w:rPr>
            <w:noProof/>
            <w:webHidden/>
          </w:rPr>
        </w:r>
        <w:r w:rsidR="00917A91">
          <w:rPr>
            <w:noProof/>
            <w:webHidden/>
          </w:rPr>
          <w:fldChar w:fldCharType="separate"/>
        </w:r>
        <w:r w:rsidR="00F565A3">
          <w:rPr>
            <w:noProof/>
            <w:webHidden/>
          </w:rPr>
          <w:t>4</w:t>
        </w:r>
        <w:r w:rsidR="00917A91">
          <w:rPr>
            <w:noProof/>
            <w:webHidden/>
          </w:rPr>
          <w:fldChar w:fldCharType="end"/>
        </w:r>
      </w:hyperlink>
    </w:p>
    <w:p w14:paraId="66822585" w14:textId="6FF18D27" w:rsidR="00917A91" w:rsidRDefault="007B7C47">
      <w:pPr>
        <w:pStyle w:val="TOC1"/>
        <w:rPr>
          <w:rFonts w:asciiTheme="minorHAnsi" w:eastAsiaTheme="minorEastAsia" w:hAnsiTheme="minorHAnsi" w:cstheme="minorBidi"/>
          <w:noProof/>
          <w:kern w:val="0"/>
          <w:szCs w:val="22"/>
        </w:rPr>
      </w:pPr>
      <w:hyperlink w:anchor="_Toc26875368" w:history="1">
        <w:r w:rsidR="00917A91" w:rsidRPr="00E60BE9">
          <w:rPr>
            <w:rStyle w:val="Hyperlink"/>
            <w:noProof/>
            <w:lang w:eastAsia="en-US"/>
          </w:rPr>
          <w:t>3.  OBJECTIVE</w:t>
        </w:r>
        <w:r w:rsidR="00917A91">
          <w:rPr>
            <w:noProof/>
            <w:webHidden/>
          </w:rPr>
          <w:tab/>
        </w:r>
        <w:r w:rsidR="00917A91">
          <w:rPr>
            <w:noProof/>
            <w:webHidden/>
          </w:rPr>
          <w:fldChar w:fldCharType="begin"/>
        </w:r>
        <w:r w:rsidR="00917A91">
          <w:rPr>
            <w:noProof/>
            <w:webHidden/>
          </w:rPr>
          <w:instrText xml:space="preserve"> PAGEREF _Toc26875368 \h </w:instrText>
        </w:r>
        <w:r w:rsidR="00917A91">
          <w:rPr>
            <w:noProof/>
            <w:webHidden/>
          </w:rPr>
        </w:r>
        <w:r w:rsidR="00917A91">
          <w:rPr>
            <w:noProof/>
            <w:webHidden/>
          </w:rPr>
          <w:fldChar w:fldCharType="separate"/>
        </w:r>
        <w:r w:rsidR="00F565A3">
          <w:rPr>
            <w:noProof/>
            <w:webHidden/>
          </w:rPr>
          <w:t>4</w:t>
        </w:r>
        <w:r w:rsidR="00917A91">
          <w:rPr>
            <w:noProof/>
            <w:webHidden/>
          </w:rPr>
          <w:fldChar w:fldCharType="end"/>
        </w:r>
      </w:hyperlink>
    </w:p>
    <w:p w14:paraId="29E6569B" w14:textId="2A87B277" w:rsidR="00917A91" w:rsidRDefault="007B7C47">
      <w:pPr>
        <w:pStyle w:val="TOC1"/>
        <w:tabs>
          <w:tab w:val="left" w:pos="440"/>
        </w:tabs>
        <w:rPr>
          <w:rFonts w:asciiTheme="minorHAnsi" w:eastAsiaTheme="minorEastAsia" w:hAnsiTheme="minorHAnsi" w:cstheme="minorBidi"/>
          <w:noProof/>
          <w:kern w:val="0"/>
          <w:szCs w:val="22"/>
        </w:rPr>
      </w:pPr>
      <w:hyperlink w:anchor="_Toc26875369" w:history="1">
        <w:r w:rsidR="00917A91" w:rsidRPr="00E60BE9">
          <w:rPr>
            <w:rStyle w:val="Hyperlink"/>
            <w:noProof/>
            <w:lang w:eastAsia="en-US"/>
          </w:rPr>
          <w:t>4.</w:t>
        </w:r>
        <w:r w:rsidR="00917A91">
          <w:rPr>
            <w:rFonts w:asciiTheme="minorHAnsi" w:eastAsiaTheme="minorEastAsia" w:hAnsiTheme="minorHAnsi" w:cstheme="minorBidi"/>
            <w:noProof/>
            <w:kern w:val="0"/>
            <w:szCs w:val="22"/>
          </w:rPr>
          <w:tab/>
        </w:r>
        <w:r w:rsidR="00917A91" w:rsidRPr="00E60BE9">
          <w:rPr>
            <w:rStyle w:val="Hyperlink"/>
            <w:noProof/>
            <w:lang w:eastAsia="en-US"/>
          </w:rPr>
          <w:t>IMPACT ANALYSES</w:t>
        </w:r>
        <w:r w:rsidR="00917A91">
          <w:rPr>
            <w:noProof/>
            <w:webHidden/>
          </w:rPr>
          <w:tab/>
        </w:r>
        <w:r w:rsidR="00917A91">
          <w:rPr>
            <w:noProof/>
            <w:webHidden/>
          </w:rPr>
          <w:fldChar w:fldCharType="begin"/>
        </w:r>
        <w:r w:rsidR="00917A91">
          <w:rPr>
            <w:noProof/>
            <w:webHidden/>
          </w:rPr>
          <w:instrText xml:space="preserve"> PAGEREF _Toc26875369 \h </w:instrText>
        </w:r>
        <w:r w:rsidR="00917A91">
          <w:rPr>
            <w:noProof/>
            <w:webHidden/>
          </w:rPr>
        </w:r>
        <w:r w:rsidR="00917A91">
          <w:rPr>
            <w:noProof/>
            <w:webHidden/>
          </w:rPr>
          <w:fldChar w:fldCharType="separate"/>
        </w:r>
        <w:r w:rsidR="00F565A3">
          <w:rPr>
            <w:noProof/>
            <w:webHidden/>
          </w:rPr>
          <w:t>5</w:t>
        </w:r>
        <w:r w:rsidR="00917A91">
          <w:rPr>
            <w:noProof/>
            <w:webHidden/>
          </w:rPr>
          <w:fldChar w:fldCharType="end"/>
        </w:r>
      </w:hyperlink>
    </w:p>
    <w:p w14:paraId="04953262" w14:textId="635D8222" w:rsidR="00917A91" w:rsidRDefault="007B7C47">
      <w:pPr>
        <w:pStyle w:val="TOC2"/>
        <w:tabs>
          <w:tab w:val="right" w:leader="dot" w:pos="9628"/>
        </w:tabs>
        <w:rPr>
          <w:rFonts w:asciiTheme="minorHAnsi" w:eastAsiaTheme="minorEastAsia" w:hAnsiTheme="minorHAnsi" w:cstheme="minorBidi"/>
          <w:noProof/>
          <w:kern w:val="0"/>
          <w:szCs w:val="22"/>
        </w:rPr>
      </w:pPr>
      <w:hyperlink w:anchor="_Toc26875370" w:history="1">
        <w:r w:rsidR="00917A91" w:rsidRPr="00E60BE9">
          <w:rPr>
            <w:rStyle w:val="Hyperlink"/>
            <w:rFonts w:eastAsia="Calibri" w:cs="Arial"/>
            <w:noProof/>
            <w:lang w:eastAsia="en-US"/>
          </w:rPr>
          <w:t>4.1 Equality</w:t>
        </w:r>
        <w:r w:rsidR="00917A91">
          <w:rPr>
            <w:noProof/>
            <w:webHidden/>
          </w:rPr>
          <w:tab/>
        </w:r>
        <w:r w:rsidR="00917A91">
          <w:rPr>
            <w:noProof/>
            <w:webHidden/>
          </w:rPr>
          <w:fldChar w:fldCharType="begin"/>
        </w:r>
        <w:r w:rsidR="00917A91">
          <w:rPr>
            <w:noProof/>
            <w:webHidden/>
          </w:rPr>
          <w:instrText xml:space="preserve"> PAGEREF _Toc26875370 \h </w:instrText>
        </w:r>
        <w:r w:rsidR="00917A91">
          <w:rPr>
            <w:noProof/>
            <w:webHidden/>
          </w:rPr>
        </w:r>
        <w:r w:rsidR="00917A91">
          <w:rPr>
            <w:noProof/>
            <w:webHidden/>
          </w:rPr>
          <w:fldChar w:fldCharType="separate"/>
        </w:r>
        <w:r w:rsidR="00F565A3">
          <w:rPr>
            <w:noProof/>
            <w:webHidden/>
          </w:rPr>
          <w:t>5</w:t>
        </w:r>
        <w:r w:rsidR="00917A91">
          <w:rPr>
            <w:noProof/>
            <w:webHidden/>
          </w:rPr>
          <w:fldChar w:fldCharType="end"/>
        </w:r>
      </w:hyperlink>
    </w:p>
    <w:p w14:paraId="6ABA844F" w14:textId="28376AF6" w:rsidR="00917A91" w:rsidRDefault="007B7C47">
      <w:pPr>
        <w:pStyle w:val="TOC2"/>
        <w:tabs>
          <w:tab w:val="right" w:leader="dot" w:pos="9628"/>
        </w:tabs>
        <w:rPr>
          <w:rFonts w:asciiTheme="minorHAnsi" w:eastAsiaTheme="minorEastAsia" w:hAnsiTheme="minorHAnsi" w:cstheme="minorBidi"/>
          <w:noProof/>
          <w:kern w:val="0"/>
          <w:szCs w:val="22"/>
        </w:rPr>
      </w:pPr>
      <w:hyperlink w:anchor="_Toc26875371" w:history="1">
        <w:r w:rsidR="00917A91" w:rsidRPr="00E60BE9">
          <w:rPr>
            <w:rStyle w:val="Hyperlink"/>
            <w:rFonts w:eastAsia="Calibri" w:cs="Arial"/>
            <w:noProof/>
            <w:lang w:eastAsia="en-US"/>
          </w:rPr>
          <w:t>4.2 Bribery Act 2010</w:t>
        </w:r>
        <w:r w:rsidR="00917A91">
          <w:rPr>
            <w:noProof/>
            <w:webHidden/>
          </w:rPr>
          <w:tab/>
        </w:r>
        <w:r w:rsidR="00917A91">
          <w:rPr>
            <w:noProof/>
            <w:webHidden/>
          </w:rPr>
          <w:fldChar w:fldCharType="begin"/>
        </w:r>
        <w:r w:rsidR="00917A91">
          <w:rPr>
            <w:noProof/>
            <w:webHidden/>
          </w:rPr>
          <w:instrText xml:space="preserve"> PAGEREF _Toc26875371 \h </w:instrText>
        </w:r>
        <w:r w:rsidR="00917A91">
          <w:rPr>
            <w:noProof/>
            <w:webHidden/>
          </w:rPr>
        </w:r>
        <w:r w:rsidR="00917A91">
          <w:rPr>
            <w:noProof/>
            <w:webHidden/>
          </w:rPr>
          <w:fldChar w:fldCharType="separate"/>
        </w:r>
        <w:r w:rsidR="00F565A3">
          <w:rPr>
            <w:noProof/>
            <w:webHidden/>
          </w:rPr>
          <w:t>5</w:t>
        </w:r>
        <w:r w:rsidR="00917A91">
          <w:rPr>
            <w:noProof/>
            <w:webHidden/>
          </w:rPr>
          <w:fldChar w:fldCharType="end"/>
        </w:r>
      </w:hyperlink>
    </w:p>
    <w:p w14:paraId="1072B912" w14:textId="6FE19A1F" w:rsidR="00917A91" w:rsidRDefault="007B7C47">
      <w:pPr>
        <w:pStyle w:val="TOC1"/>
        <w:tabs>
          <w:tab w:val="left" w:pos="440"/>
        </w:tabs>
        <w:rPr>
          <w:rFonts w:asciiTheme="minorHAnsi" w:eastAsiaTheme="minorEastAsia" w:hAnsiTheme="minorHAnsi" w:cstheme="minorBidi"/>
          <w:noProof/>
          <w:kern w:val="0"/>
          <w:szCs w:val="22"/>
        </w:rPr>
      </w:pPr>
      <w:hyperlink w:anchor="_Toc26875372" w:history="1">
        <w:r w:rsidR="00917A91" w:rsidRPr="00E60BE9">
          <w:rPr>
            <w:rStyle w:val="Hyperlink"/>
            <w:noProof/>
            <w:lang w:eastAsia="en-US"/>
          </w:rPr>
          <w:t>5.</w:t>
        </w:r>
        <w:r w:rsidR="00917A91">
          <w:rPr>
            <w:rFonts w:asciiTheme="minorHAnsi" w:eastAsiaTheme="minorEastAsia" w:hAnsiTheme="minorHAnsi" w:cstheme="minorBidi"/>
            <w:noProof/>
            <w:kern w:val="0"/>
            <w:szCs w:val="22"/>
          </w:rPr>
          <w:tab/>
        </w:r>
        <w:r w:rsidR="00917A91" w:rsidRPr="00E60BE9">
          <w:rPr>
            <w:rStyle w:val="Hyperlink"/>
            <w:noProof/>
            <w:lang w:eastAsia="en-US"/>
          </w:rPr>
          <w:t>ROLE AND RESPONSIBILITIES</w:t>
        </w:r>
        <w:r w:rsidR="00917A91">
          <w:rPr>
            <w:noProof/>
            <w:webHidden/>
          </w:rPr>
          <w:tab/>
        </w:r>
        <w:r w:rsidR="00917A91">
          <w:rPr>
            <w:noProof/>
            <w:webHidden/>
          </w:rPr>
          <w:fldChar w:fldCharType="begin"/>
        </w:r>
        <w:r w:rsidR="00917A91">
          <w:rPr>
            <w:noProof/>
            <w:webHidden/>
          </w:rPr>
          <w:instrText xml:space="preserve"> PAGEREF _Toc26875372 \h </w:instrText>
        </w:r>
        <w:r w:rsidR="00917A91">
          <w:rPr>
            <w:noProof/>
            <w:webHidden/>
          </w:rPr>
        </w:r>
        <w:r w:rsidR="00917A91">
          <w:rPr>
            <w:noProof/>
            <w:webHidden/>
          </w:rPr>
          <w:fldChar w:fldCharType="separate"/>
        </w:r>
        <w:r w:rsidR="00F565A3">
          <w:rPr>
            <w:noProof/>
            <w:webHidden/>
          </w:rPr>
          <w:t>6</w:t>
        </w:r>
        <w:r w:rsidR="00917A91">
          <w:rPr>
            <w:noProof/>
            <w:webHidden/>
          </w:rPr>
          <w:fldChar w:fldCharType="end"/>
        </w:r>
      </w:hyperlink>
    </w:p>
    <w:p w14:paraId="1C32B05F" w14:textId="5ACB4E22" w:rsidR="00917A91" w:rsidRDefault="007B7C47">
      <w:pPr>
        <w:pStyle w:val="TOC1"/>
        <w:rPr>
          <w:rFonts w:asciiTheme="minorHAnsi" w:eastAsiaTheme="minorEastAsia" w:hAnsiTheme="minorHAnsi" w:cstheme="minorBidi"/>
          <w:noProof/>
          <w:kern w:val="0"/>
          <w:szCs w:val="22"/>
        </w:rPr>
      </w:pPr>
      <w:hyperlink w:anchor="_Toc26875373" w:history="1">
        <w:r w:rsidR="00917A91" w:rsidRPr="00E60BE9">
          <w:rPr>
            <w:rStyle w:val="Hyperlink"/>
            <w:noProof/>
          </w:rPr>
          <w:t>6.  CONTEXT</w:t>
        </w:r>
        <w:r w:rsidR="00917A91">
          <w:rPr>
            <w:noProof/>
            <w:webHidden/>
          </w:rPr>
          <w:tab/>
        </w:r>
        <w:r w:rsidR="00917A91">
          <w:rPr>
            <w:noProof/>
            <w:webHidden/>
          </w:rPr>
          <w:fldChar w:fldCharType="begin"/>
        </w:r>
        <w:r w:rsidR="00917A91">
          <w:rPr>
            <w:noProof/>
            <w:webHidden/>
          </w:rPr>
          <w:instrText xml:space="preserve"> PAGEREF _Toc26875373 \h </w:instrText>
        </w:r>
        <w:r w:rsidR="00917A91">
          <w:rPr>
            <w:noProof/>
            <w:webHidden/>
          </w:rPr>
        </w:r>
        <w:r w:rsidR="00917A91">
          <w:rPr>
            <w:noProof/>
            <w:webHidden/>
          </w:rPr>
          <w:fldChar w:fldCharType="separate"/>
        </w:r>
        <w:r w:rsidR="00F565A3">
          <w:rPr>
            <w:noProof/>
            <w:webHidden/>
          </w:rPr>
          <w:t>7</w:t>
        </w:r>
        <w:r w:rsidR="00917A91">
          <w:rPr>
            <w:noProof/>
            <w:webHidden/>
          </w:rPr>
          <w:fldChar w:fldCharType="end"/>
        </w:r>
      </w:hyperlink>
    </w:p>
    <w:p w14:paraId="5FA4F544" w14:textId="30451FC2" w:rsidR="00917A91" w:rsidRDefault="007B7C47">
      <w:pPr>
        <w:pStyle w:val="TOC1"/>
        <w:rPr>
          <w:rFonts w:asciiTheme="minorHAnsi" w:eastAsiaTheme="minorEastAsia" w:hAnsiTheme="minorHAnsi" w:cstheme="minorBidi"/>
          <w:noProof/>
          <w:kern w:val="0"/>
          <w:szCs w:val="22"/>
        </w:rPr>
      </w:pPr>
      <w:hyperlink w:anchor="_Toc26875374" w:history="1">
        <w:r w:rsidR="00917A91" w:rsidRPr="00E60BE9">
          <w:rPr>
            <w:rStyle w:val="Hyperlink"/>
            <w:rFonts w:eastAsia="Calibri"/>
            <w:noProof/>
            <w:lang w:eastAsia="en-US"/>
          </w:rPr>
          <w:t xml:space="preserve">7.  </w:t>
        </w:r>
        <w:r w:rsidR="00917A91" w:rsidRPr="00E60BE9">
          <w:rPr>
            <w:rStyle w:val="Hyperlink"/>
            <w:noProof/>
            <w:lang w:eastAsia="en-US"/>
          </w:rPr>
          <w:t>BACKGROUND</w:t>
        </w:r>
        <w:r w:rsidR="00917A91">
          <w:rPr>
            <w:noProof/>
            <w:webHidden/>
          </w:rPr>
          <w:tab/>
        </w:r>
        <w:r w:rsidR="00917A91">
          <w:rPr>
            <w:noProof/>
            <w:webHidden/>
          </w:rPr>
          <w:fldChar w:fldCharType="begin"/>
        </w:r>
        <w:r w:rsidR="00917A91">
          <w:rPr>
            <w:noProof/>
            <w:webHidden/>
          </w:rPr>
          <w:instrText xml:space="preserve"> PAGEREF _Toc26875374 \h </w:instrText>
        </w:r>
        <w:r w:rsidR="00917A91">
          <w:rPr>
            <w:noProof/>
            <w:webHidden/>
          </w:rPr>
        </w:r>
        <w:r w:rsidR="00917A91">
          <w:rPr>
            <w:noProof/>
            <w:webHidden/>
          </w:rPr>
          <w:fldChar w:fldCharType="separate"/>
        </w:r>
        <w:r w:rsidR="00F565A3">
          <w:rPr>
            <w:noProof/>
            <w:webHidden/>
          </w:rPr>
          <w:t>8</w:t>
        </w:r>
        <w:r w:rsidR="00917A91">
          <w:rPr>
            <w:noProof/>
            <w:webHidden/>
          </w:rPr>
          <w:fldChar w:fldCharType="end"/>
        </w:r>
      </w:hyperlink>
    </w:p>
    <w:p w14:paraId="566219DA" w14:textId="3D53D856" w:rsidR="00917A91" w:rsidRDefault="007B7C47">
      <w:pPr>
        <w:pStyle w:val="TOC1"/>
        <w:rPr>
          <w:rFonts w:asciiTheme="minorHAnsi" w:eastAsiaTheme="minorEastAsia" w:hAnsiTheme="minorHAnsi" w:cstheme="minorBidi"/>
          <w:noProof/>
          <w:kern w:val="0"/>
          <w:szCs w:val="22"/>
        </w:rPr>
      </w:pPr>
      <w:hyperlink w:anchor="_Toc26875375" w:history="1">
        <w:r w:rsidR="00917A91" w:rsidRPr="00E60BE9">
          <w:rPr>
            <w:rStyle w:val="Hyperlink"/>
            <w:noProof/>
            <w:lang w:eastAsia="en-US"/>
          </w:rPr>
          <w:t>8.  SUPPORT PLANNING</w:t>
        </w:r>
        <w:r w:rsidR="00917A91">
          <w:rPr>
            <w:noProof/>
            <w:webHidden/>
          </w:rPr>
          <w:tab/>
        </w:r>
        <w:r w:rsidR="00917A91">
          <w:rPr>
            <w:noProof/>
            <w:webHidden/>
          </w:rPr>
          <w:fldChar w:fldCharType="begin"/>
        </w:r>
        <w:r w:rsidR="00917A91">
          <w:rPr>
            <w:noProof/>
            <w:webHidden/>
          </w:rPr>
          <w:instrText xml:space="preserve"> PAGEREF _Toc26875375 \h </w:instrText>
        </w:r>
        <w:r w:rsidR="00917A91">
          <w:rPr>
            <w:noProof/>
            <w:webHidden/>
          </w:rPr>
        </w:r>
        <w:r w:rsidR="00917A91">
          <w:rPr>
            <w:noProof/>
            <w:webHidden/>
          </w:rPr>
          <w:fldChar w:fldCharType="separate"/>
        </w:r>
        <w:r w:rsidR="00F565A3">
          <w:rPr>
            <w:noProof/>
            <w:webHidden/>
          </w:rPr>
          <w:t>9</w:t>
        </w:r>
        <w:r w:rsidR="00917A91">
          <w:rPr>
            <w:noProof/>
            <w:webHidden/>
          </w:rPr>
          <w:fldChar w:fldCharType="end"/>
        </w:r>
      </w:hyperlink>
    </w:p>
    <w:p w14:paraId="0C86AC78" w14:textId="7B17948C" w:rsidR="00917A91" w:rsidRDefault="007B7C47">
      <w:pPr>
        <w:pStyle w:val="TOC1"/>
        <w:rPr>
          <w:rFonts w:asciiTheme="minorHAnsi" w:eastAsiaTheme="minorEastAsia" w:hAnsiTheme="minorHAnsi" w:cstheme="minorBidi"/>
          <w:noProof/>
          <w:kern w:val="0"/>
          <w:szCs w:val="22"/>
        </w:rPr>
      </w:pPr>
      <w:hyperlink w:anchor="_Toc26875376" w:history="1">
        <w:r w:rsidR="00917A91" w:rsidRPr="00E60BE9">
          <w:rPr>
            <w:rStyle w:val="Hyperlink"/>
            <w:noProof/>
            <w:lang w:eastAsia="en-US"/>
          </w:rPr>
          <w:t>9.  GUIDING PRINCIPLES</w:t>
        </w:r>
        <w:r w:rsidR="00917A91">
          <w:rPr>
            <w:noProof/>
            <w:webHidden/>
          </w:rPr>
          <w:tab/>
        </w:r>
        <w:r w:rsidR="00917A91">
          <w:rPr>
            <w:noProof/>
            <w:webHidden/>
          </w:rPr>
          <w:fldChar w:fldCharType="begin"/>
        </w:r>
        <w:r w:rsidR="00917A91">
          <w:rPr>
            <w:noProof/>
            <w:webHidden/>
          </w:rPr>
          <w:instrText xml:space="preserve"> PAGEREF _Toc26875376 \h </w:instrText>
        </w:r>
        <w:r w:rsidR="00917A91">
          <w:rPr>
            <w:noProof/>
            <w:webHidden/>
          </w:rPr>
        </w:r>
        <w:r w:rsidR="00917A91">
          <w:rPr>
            <w:noProof/>
            <w:webHidden/>
          </w:rPr>
          <w:fldChar w:fldCharType="separate"/>
        </w:r>
        <w:r w:rsidR="00F565A3">
          <w:rPr>
            <w:noProof/>
            <w:webHidden/>
          </w:rPr>
          <w:t>9</w:t>
        </w:r>
        <w:r w:rsidR="00917A91">
          <w:rPr>
            <w:noProof/>
            <w:webHidden/>
          </w:rPr>
          <w:fldChar w:fldCharType="end"/>
        </w:r>
      </w:hyperlink>
    </w:p>
    <w:p w14:paraId="25933D21" w14:textId="7AB5C30A" w:rsidR="00917A91" w:rsidRDefault="007B7C47">
      <w:pPr>
        <w:pStyle w:val="TOC1"/>
        <w:rPr>
          <w:rFonts w:asciiTheme="minorHAnsi" w:eastAsiaTheme="minorEastAsia" w:hAnsiTheme="minorHAnsi" w:cstheme="minorBidi"/>
          <w:noProof/>
          <w:kern w:val="0"/>
          <w:szCs w:val="22"/>
        </w:rPr>
      </w:pPr>
      <w:hyperlink w:anchor="_Toc26875377" w:history="1">
        <w:r w:rsidR="00917A91" w:rsidRPr="00E60BE9">
          <w:rPr>
            <w:rStyle w:val="Hyperlink"/>
            <w:noProof/>
          </w:rPr>
          <w:t>10.  FIVE PRINCIPLES OF THE MENTAL CAPACITY ACT 2005</w:t>
        </w:r>
        <w:r w:rsidR="00917A91">
          <w:rPr>
            <w:noProof/>
            <w:webHidden/>
          </w:rPr>
          <w:tab/>
        </w:r>
        <w:r w:rsidR="00917A91">
          <w:rPr>
            <w:noProof/>
            <w:webHidden/>
          </w:rPr>
          <w:fldChar w:fldCharType="begin"/>
        </w:r>
        <w:r w:rsidR="00917A91">
          <w:rPr>
            <w:noProof/>
            <w:webHidden/>
          </w:rPr>
          <w:instrText xml:space="preserve"> PAGEREF _Toc26875377 \h </w:instrText>
        </w:r>
        <w:r w:rsidR="00917A91">
          <w:rPr>
            <w:noProof/>
            <w:webHidden/>
          </w:rPr>
        </w:r>
        <w:r w:rsidR="00917A91">
          <w:rPr>
            <w:noProof/>
            <w:webHidden/>
          </w:rPr>
          <w:fldChar w:fldCharType="separate"/>
        </w:r>
        <w:r w:rsidR="00F565A3">
          <w:rPr>
            <w:noProof/>
            <w:webHidden/>
          </w:rPr>
          <w:t>11</w:t>
        </w:r>
        <w:r w:rsidR="00917A91">
          <w:rPr>
            <w:noProof/>
            <w:webHidden/>
          </w:rPr>
          <w:fldChar w:fldCharType="end"/>
        </w:r>
      </w:hyperlink>
    </w:p>
    <w:p w14:paraId="1C9CE40C" w14:textId="1923EDAB" w:rsidR="00917A91" w:rsidRDefault="007B7C47">
      <w:pPr>
        <w:pStyle w:val="TOC1"/>
        <w:rPr>
          <w:rFonts w:asciiTheme="minorHAnsi" w:eastAsiaTheme="minorEastAsia" w:hAnsiTheme="minorHAnsi" w:cstheme="minorBidi"/>
          <w:noProof/>
          <w:kern w:val="0"/>
          <w:szCs w:val="22"/>
        </w:rPr>
      </w:pPr>
      <w:hyperlink w:anchor="_Toc26875378" w:history="1">
        <w:r w:rsidR="00917A91" w:rsidRPr="00E60BE9">
          <w:rPr>
            <w:rStyle w:val="Hyperlink"/>
            <w:noProof/>
          </w:rPr>
          <w:t>11.  HOW WILL IT OPERATE?</w:t>
        </w:r>
        <w:r w:rsidR="00917A91">
          <w:rPr>
            <w:noProof/>
            <w:webHidden/>
          </w:rPr>
          <w:tab/>
        </w:r>
        <w:r w:rsidR="00917A91">
          <w:rPr>
            <w:noProof/>
            <w:webHidden/>
          </w:rPr>
          <w:fldChar w:fldCharType="begin"/>
        </w:r>
        <w:r w:rsidR="00917A91">
          <w:rPr>
            <w:noProof/>
            <w:webHidden/>
          </w:rPr>
          <w:instrText xml:space="preserve"> PAGEREF _Toc26875378 \h </w:instrText>
        </w:r>
        <w:r w:rsidR="00917A91">
          <w:rPr>
            <w:noProof/>
            <w:webHidden/>
          </w:rPr>
        </w:r>
        <w:r w:rsidR="00917A91">
          <w:rPr>
            <w:noProof/>
            <w:webHidden/>
          </w:rPr>
          <w:fldChar w:fldCharType="separate"/>
        </w:r>
        <w:r w:rsidR="00F565A3">
          <w:rPr>
            <w:noProof/>
            <w:webHidden/>
          </w:rPr>
          <w:t>13</w:t>
        </w:r>
        <w:r w:rsidR="00917A91">
          <w:rPr>
            <w:noProof/>
            <w:webHidden/>
          </w:rPr>
          <w:fldChar w:fldCharType="end"/>
        </w:r>
      </w:hyperlink>
    </w:p>
    <w:p w14:paraId="49E557A8" w14:textId="3E761C6B" w:rsidR="00917A91" w:rsidRDefault="007B7C47">
      <w:pPr>
        <w:pStyle w:val="TOC1"/>
        <w:rPr>
          <w:rFonts w:asciiTheme="minorHAnsi" w:eastAsiaTheme="minorEastAsia" w:hAnsiTheme="minorHAnsi" w:cstheme="minorBidi"/>
          <w:noProof/>
          <w:kern w:val="0"/>
          <w:szCs w:val="22"/>
        </w:rPr>
      </w:pPr>
      <w:hyperlink w:anchor="_Toc26875379" w:history="1">
        <w:r w:rsidR="00917A91" w:rsidRPr="00E60BE9">
          <w:rPr>
            <w:rStyle w:val="Hyperlink"/>
            <w:noProof/>
          </w:rPr>
          <w:t>12. WHAT SHOULD A SUPPORT PLAN INCLUDE?</w:t>
        </w:r>
        <w:r w:rsidR="00917A91">
          <w:rPr>
            <w:noProof/>
            <w:webHidden/>
          </w:rPr>
          <w:tab/>
        </w:r>
        <w:r w:rsidR="00917A91">
          <w:rPr>
            <w:noProof/>
            <w:webHidden/>
          </w:rPr>
          <w:fldChar w:fldCharType="begin"/>
        </w:r>
        <w:r w:rsidR="00917A91">
          <w:rPr>
            <w:noProof/>
            <w:webHidden/>
          </w:rPr>
          <w:instrText xml:space="preserve"> PAGEREF _Toc26875379 \h </w:instrText>
        </w:r>
        <w:r w:rsidR="00917A91">
          <w:rPr>
            <w:noProof/>
            <w:webHidden/>
          </w:rPr>
        </w:r>
        <w:r w:rsidR="00917A91">
          <w:rPr>
            <w:noProof/>
            <w:webHidden/>
          </w:rPr>
          <w:fldChar w:fldCharType="separate"/>
        </w:r>
        <w:r w:rsidR="00F565A3">
          <w:rPr>
            <w:noProof/>
            <w:webHidden/>
          </w:rPr>
          <w:t>14</w:t>
        </w:r>
        <w:r w:rsidR="00917A91">
          <w:rPr>
            <w:noProof/>
            <w:webHidden/>
          </w:rPr>
          <w:fldChar w:fldCharType="end"/>
        </w:r>
      </w:hyperlink>
    </w:p>
    <w:p w14:paraId="7E60A3D1" w14:textId="5F5810C3" w:rsidR="00917A91" w:rsidRDefault="007B7C47">
      <w:pPr>
        <w:pStyle w:val="TOC1"/>
        <w:rPr>
          <w:rFonts w:asciiTheme="minorHAnsi" w:eastAsiaTheme="minorEastAsia" w:hAnsiTheme="minorHAnsi" w:cstheme="minorBidi"/>
          <w:noProof/>
          <w:kern w:val="0"/>
          <w:szCs w:val="22"/>
        </w:rPr>
      </w:pPr>
      <w:hyperlink w:anchor="_Toc26875380" w:history="1">
        <w:r w:rsidR="00917A91" w:rsidRPr="00E60BE9">
          <w:rPr>
            <w:rStyle w:val="Hyperlink"/>
            <w:noProof/>
          </w:rPr>
          <w:t>13. WHAT SHOULD BE CONSIDERED WHEN DRAFTING A SUPPORT PLAN?</w:t>
        </w:r>
        <w:r w:rsidR="00917A91">
          <w:rPr>
            <w:noProof/>
            <w:webHidden/>
          </w:rPr>
          <w:tab/>
        </w:r>
        <w:r w:rsidR="00917A91">
          <w:rPr>
            <w:noProof/>
            <w:webHidden/>
          </w:rPr>
          <w:fldChar w:fldCharType="begin"/>
        </w:r>
        <w:r w:rsidR="00917A91">
          <w:rPr>
            <w:noProof/>
            <w:webHidden/>
          </w:rPr>
          <w:instrText xml:space="preserve"> PAGEREF _Toc26875380 \h </w:instrText>
        </w:r>
        <w:r w:rsidR="00917A91">
          <w:rPr>
            <w:noProof/>
            <w:webHidden/>
          </w:rPr>
        </w:r>
        <w:r w:rsidR="00917A91">
          <w:rPr>
            <w:noProof/>
            <w:webHidden/>
          </w:rPr>
          <w:fldChar w:fldCharType="separate"/>
        </w:r>
        <w:r w:rsidR="00F565A3">
          <w:rPr>
            <w:noProof/>
            <w:webHidden/>
          </w:rPr>
          <w:t>15</w:t>
        </w:r>
        <w:r w:rsidR="00917A91">
          <w:rPr>
            <w:noProof/>
            <w:webHidden/>
          </w:rPr>
          <w:fldChar w:fldCharType="end"/>
        </w:r>
      </w:hyperlink>
    </w:p>
    <w:p w14:paraId="5C797652" w14:textId="0AB3807F" w:rsidR="00917A91" w:rsidRDefault="007B7C47">
      <w:pPr>
        <w:pStyle w:val="TOC1"/>
        <w:rPr>
          <w:rFonts w:asciiTheme="minorHAnsi" w:eastAsiaTheme="minorEastAsia" w:hAnsiTheme="minorHAnsi" w:cstheme="minorBidi"/>
          <w:noProof/>
          <w:kern w:val="0"/>
          <w:szCs w:val="22"/>
        </w:rPr>
      </w:pPr>
      <w:hyperlink w:anchor="_Toc26875381" w:history="1">
        <w:r w:rsidR="00917A91" w:rsidRPr="00E60BE9">
          <w:rPr>
            <w:rStyle w:val="Hyperlink"/>
            <w:noProof/>
          </w:rPr>
          <w:t>14. OWNERSHIP</w:t>
        </w:r>
        <w:r w:rsidR="00917A91">
          <w:rPr>
            <w:noProof/>
            <w:webHidden/>
          </w:rPr>
          <w:tab/>
        </w:r>
        <w:r w:rsidR="00917A91">
          <w:rPr>
            <w:noProof/>
            <w:webHidden/>
          </w:rPr>
          <w:fldChar w:fldCharType="begin"/>
        </w:r>
        <w:r w:rsidR="00917A91">
          <w:rPr>
            <w:noProof/>
            <w:webHidden/>
          </w:rPr>
          <w:instrText xml:space="preserve"> PAGEREF _Toc26875381 \h </w:instrText>
        </w:r>
        <w:r w:rsidR="00917A91">
          <w:rPr>
            <w:noProof/>
            <w:webHidden/>
          </w:rPr>
        </w:r>
        <w:r w:rsidR="00917A91">
          <w:rPr>
            <w:noProof/>
            <w:webHidden/>
          </w:rPr>
          <w:fldChar w:fldCharType="separate"/>
        </w:r>
        <w:r w:rsidR="00F565A3">
          <w:rPr>
            <w:noProof/>
            <w:webHidden/>
          </w:rPr>
          <w:t>16</w:t>
        </w:r>
        <w:r w:rsidR="00917A91">
          <w:rPr>
            <w:noProof/>
            <w:webHidden/>
          </w:rPr>
          <w:fldChar w:fldCharType="end"/>
        </w:r>
      </w:hyperlink>
    </w:p>
    <w:p w14:paraId="3ABD091F" w14:textId="166438A7" w:rsidR="00917A91" w:rsidRDefault="007B7C47">
      <w:pPr>
        <w:pStyle w:val="TOC1"/>
        <w:rPr>
          <w:rFonts w:asciiTheme="minorHAnsi" w:eastAsiaTheme="minorEastAsia" w:hAnsiTheme="minorHAnsi" w:cstheme="minorBidi"/>
          <w:noProof/>
          <w:kern w:val="0"/>
          <w:szCs w:val="22"/>
        </w:rPr>
      </w:pPr>
      <w:hyperlink w:anchor="_Toc26875382" w:history="1">
        <w:r w:rsidR="00917A91" w:rsidRPr="00E60BE9">
          <w:rPr>
            <w:rStyle w:val="Hyperlink"/>
            <w:noProof/>
          </w:rPr>
          <w:t>15. APPROVAL CRITERIA</w:t>
        </w:r>
        <w:r w:rsidR="00917A91">
          <w:rPr>
            <w:noProof/>
            <w:webHidden/>
          </w:rPr>
          <w:tab/>
        </w:r>
        <w:r w:rsidR="00917A91">
          <w:rPr>
            <w:noProof/>
            <w:webHidden/>
          </w:rPr>
          <w:fldChar w:fldCharType="begin"/>
        </w:r>
        <w:r w:rsidR="00917A91">
          <w:rPr>
            <w:noProof/>
            <w:webHidden/>
          </w:rPr>
          <w:instrText xml:space="preserve"> PAGEREF _Toc26875382 \h </w:instrText>
        </w:r>
        <w:r w:rsidR="00917A91">
          <w:rPr>
            <w:noProof/>
            <w:webHidden/>
          </w:rPr>
        </w:r>
        <w:r w:rsidR="00917A91">
          <w:rPr>
            <w:noProof/>
            <w:webHidden/>
          </w:rPr>
          <w:fldChar w:fldCharType="separate"/>
        </w:r>
        <w:r w:rsidR="00F565A3">
          <w:rPr>
            <w:noProof/>
            <w:webHidden/>
          </w:rPr>
          <w:t>16</w:t>
        </w:r>
        <w:r w:rsidR="00917A91">
          <w:rPr>
            <w:noProof/>
            <w:webHidden/>
          </w:rPr>
          <w:fldChar w:fldCharType="end"/>
        </w:r>
      </w:hyperlink>
    </w:p>
    <w:p w14:paraId="0113C23B" w14:textId="6BC4031A" w:rsidR="00917A91" w:rsidRDefault="007B7C47">
      <w:pPr>
        <w:pStyle w:val="TOC1"/>
        <w:rPr>
          <w:rFonts w:asciiTheme="minorHAnsi" w:eastAsiaTheme="minorEastAsia" w:hAnsiTheme="minorHAnsi" w:cstheme="minorBidi"/>
          <w:noProof/>
          <w:kern w:val="0"/>
          <w:szCs w:val="22"/>
        </w:rPr>
      </w:pPr>
      <w:hyperlink w:anchor="_Toc26875383" w:history="1">
        <w:r w:rsidR="00917A91" w:rsidRPr="00E60BE9">
          <w:rPr>
            <w:rStyle w:val="Hyperlink"/>
            <w:noProof/>
          </w:rPr>
          <w:t>16. PATIENT CAPACITY AND SIGN OFF</w:t>
        </w:r>
        <w:r w:rsidR="00917A91">
          <w:rPr>
            <w:noProof/>
            <w:webHidden/>
          </w:rPr>
          <w:tab/>
        </w:r>
        <w:r w:rsidR="00917A91">
          <w:rPr>
            <w:noProof/>
            <w:webHidden/>
          </w:rPr>
          <w:fldChar w:fldCharType="begin"/>
        </w:r>
        <w:r w:rsidR="00917A91">
          <w:rPr>
            <w:noProof/>
            <w:webHidden/>
          </w:rPr>
          <w:instrText xml:space="preserve"> PAGEREF _Toc26875383 \h </w:instrText>
        </w:r>
        <w:r w:rsidR="00917A91">
          <w:rPr>
            <w:noProof/>
            <w:webHidden/>
          </w:rPr>
        </w:r>
        <w:r w:rsidR="00917A91">
          <w:rPr>
            <w:noProof/>
            <w:webHidden/>
          </w:rPr>
          <w:fldChar w:fldCharType="separate"/>
        </w:r>
        <w:r w:rsidR="00F565A3">
          <w:rPr>
            <w:noProof/>
            <w:webHidden/>
          </w:rPr>
          <w:t>18</w:t>
        </w:r>
        <w:r w:rsidR="00917A91">
          <w:rPr>
            <w:noProof/>
            <w:webHidden/>
          </w:rPr>
          <w:fldChar w:fldCharType="end"/>
        </w:r>
      </w:hyperlink>
    </w:p>
    <w:p w14:paraId="6E0F0E59" w14:textId="006D349D" w:rsidR="00917A91" w:rsidRDefault="007B7C47">
      <w:pPr>
        <w:pStyle w:val="TOC1"/>
        <w:rPr>
          <w:rFonts w:asciiTheme="minorHAnsi" w:eastAsiaTheme="minorEastAsia" w:hAnsiTheme="minorHAnsi" w:cstheme="minorBidi"/>
          <w:noProof/>
          <w:kern w:val="0"/>
          <w:szCs w:val="22"/>
        </w:rPr>
      </w:pPr>
      <w:hyperlink w:anchor="_Toc26875384" w:history="1">
        <w:r w:rsidR="00917A91" w:rsidRPr="00E60BE9">
          <w:rPr>
            <w:rStyle w:val="Hyperlink"/>
            <w:noProof/>
          </w:rPr>
          <w:t>17.  REVIEW AND DUTY OF CARE</w:t>
        </w:r>
        <w:r w:rsidR="00917A91">
          <w:rPr>
            <w:noProof/>
            <w:webHidden/>
          </w:rPr>
          <w:tab/>
        </w:r>
        <w:r w:rsidR="00917A91">
          <w:rPr>
            <w:noProof/>
            <w:webHidden/>
          </w:rPr>
          <w:fldChar w:fldCharType="begin"/>
        </w:r>
        <w:r w:rsidR="00917A91">
          <w:rPr>
            <w:noProof/>
            <w:webHidden/>
          </w:rPr>
          <w:instrText xml:space="preserve"> PAGEREF _Toc26875384 \h </w:instrText>
        </w:r>
        <w:r w:rsidR="00917A91">
          <w:rPr>
            <w:noProof/>
            <w:webHidden/>
          </w:rPr>
        </w:r>
        <w:r w:rsidR="00917A91">
          <w:rPr>
            <w:noProof/>
            <w:webHidden/>
          </w:rPr>
          <w:fldChar w:fldCharType="separate"/>
        </w:r>
        <w:r w:rsidR="00F565A3">
          <w:rPr>
            <w:noProof/>
            <w:webHidden/>
          </w:rPr>
          <w:t>18</w:t>
        </w:r>
        <w:r w:rsidR="00917A91">
          <w:rPr>
            <w:noProof/>
            <w:webHidden/>
          </w:rPr>
          <w:fldChar w:fldCharType="end"/>
        </w:r>
      </w:hyperlink>
    </w:p>
    <w:p w14:paraId="52A66006" w14:textId="17CE075D" w:rsidR="00917A91" w:rsidRDefault="007B7C47">
      <w:pPr>
        <w:pStyle w:val="TOC1"/>
        <w:rPr>
          <w:rFonts w:asciiTheme="minorHAnsi" w:eastAsiaTheme="minorEastAsia" w:hAnsiTheme="minorHAnsi" w:cstheme="minorBidi"/>
          <w:noProof/>
          <w:kern w:val="0"/>
          <w:szCs w:val="22"/>
        </w:rPr>
      </w:pPr>
      <w:hyperlink w:anchor="_Toc26875385" w:history="1">
        <w:r w:rsidR="00917A91" w:rsidRPr="00E60BE9">
          <w:rPr>
            <w:rStyle w:val="Hyperlink"/>
            <w:noProof/>
          </w:rPr>
          <w:t>18.  GOVERNANCE</w:t>
        </w:r>
        <w:r w:rsidR="00917A91">
          <w:rPr>
            <w:noProof/>
            <w:webHidden/>
          </w:rPr>
          <w:tab/>
        </w:r>
        <w:r w:rsidR="00917A91">
          <w:rPr>
            <w:noProof/>
            <w:webHidden/>
          </w:rPr>
          <w:fldChar w:fldCharType="begin"/>
        </w:r>
        <w:r w:rsidR="00917A91">
          <w:rPr>
            <w:noProof/>
            <w:webHidden/>
          </w:rPr>
          <w:instrText xml:space="preserve"> PAGEREF _Toc26875385 \h </w:instrText>
        </w:r>
        <w:r w:rsidR="00917A91">
          <w:rPr>
            <w:noProof/>
            <w:webHidden/>
          </w:rPr>
        </w:r>
        <w:r w:rsidR="00917A91">
          <w:rPr>
            <w:noProof/>
            <w:webHidden/>
          </w:rPr>
          <w:fldChar w:fldCharType="separate"/>
        </w:r>
        <w:r w:rsidR="00F565A3">
          <w:rPr>
            <w:noProof/>
            <w:webHidden/>
          </w:rPr>
          <w:t>19</w:t>
        </w:r>
        <w:r w:rsidR="00917A91">
          <w:rPr>
            <w:noProof/>
            <w:webHidden/>
          </w:rPr>
          <w:fldChar w:fldCharType="end"/>
        </w:r>
      </w:hyperlink>
    </w:p>
    <w:p w14:paraId="53BE9694" w14:textId="6CE49202" w:rsidR="00917A91" w:rsidRDefault="007B7C47">
      <w:pPr>
        <w:pStyle w:val="TOC1"/>
        <w:rPr>
          <w:rFonts w:asciiTheme="minorHAnsi" w:eastAsiaTheme="minorEastAsia" w:hAnsiTheme="minorHAnsi" w:cstheme="minorBidi"/>
          <w:noProof/>
          <w:kern w:val="0"/>
          <w:szCs w:val="22"/>
        </w:rPr>
      </w:pPr>
      <w:hyperlink w:anchor="_Toc26875386" w:history="1">
        <w:r w:rsidR="00917A91" w:rsidRPr="00E60BE9">
          <w:rPr>
            <w:rStyle w:val="Hyperlink"/>
            <w:noProof/>
          </w:rPr>
          <w:t>19.  APPEALS</w:t>
        </w:r>
        <w:r w:rsidR="00917A91">
          <w:rPr>
            <w:noProof/>
            <w:webHidden/>
          </w:rPr>
          <w:tab/>
        </w:r>
        <w:r w:rsidR="00917A91">
          <w:rPr>
            <w:noProof/>
            <w:webHidden/>
          </w:rPr>
          <w:fldChar w:fldCharType="begin"/>
        </w:r>
        <w:r w:rsidR="00917A91">
          <w:rPr>
            <w:noProof/>
            <w:webHidden/>
          </w:rPr>
          <w:instrText xml:space="preserve"> PAGEREF _Toc26875386 \h </w:instrText>
        </w:r>
        <w:r w:rsidR="00917A91">
          <w:rPr>
            <w:noProof/>
            <w:webHidden/>
          </w:rPr>
        </w:r>
        <w:r w:rsidR="00917A91">
          <w:rPr>
            <w:noProof/>
            <w:webHidden/>
          </w:rPr>
          <w:fldChar w:fldCharType="separate"/>
        </w:r>
        <w:r w:rsidR="00F565A3">
          <w:rPr>
            <w:noProof/>
            <w:webHidden/>
          </w:rPr>
          <w:t>19</w:t>
        </w:r>
        <w:r w:rsidR="00917A91">
          <w:rPr>
            <w:noProof/>
            <w:webHidden/>
          </w:rPr>
          <w:fldChar w:fldCharType="end"/>
        </w:r>
      </w:hyperlink>
    </w:p>
    <w:p w14:paraId="51A381C8" w14:textId="157C7AFD" w:rsidR="00917A91" w:rsidRDefault="007B7C47">
      <w:pPr>
        <w:pStyle w:val="TOC1"/>
        <w:rPr>
          <w:rFonts w:asciiTheme="minorHAnsi" w:eastAsiaTheme="minorEastAsia" w:hAnsiTheme="minorHAnsi" w:cstheme="minorBidi"/>
          <w:noProof/>
          <w:kern w:val="0"/>
          <w:szCs w:val="22"/>
        </w:rPr>
      </w:pPr>
      <w:hyperlink w:anchor="_Toc26875387" w:history="1">
        <w:r w:rsidR="00917A91" w:rsidRPr="00E60BE9">
          <w:rPr>
            <w:rStyle w:val="Hyperlink"/>
            <w:noProof/>
          </w:rPr>
          <w:t>20. REFERENCES</w:t>
        </w:r>
        <w:r w:rsidR="00917A91">
          <w:rPr>
            <w:noProof/>
            <w:webHidden/>
          </w:rPr>
          <w:tab/>
        </w:r>
        <w:r w:rsidR="00917A91">
          <w:rPr>
            <w:noProof/>
            <w:webHidden/>
          </w:rPr>
          <w:fldChar w:fldCharType="begin"/>
        </w:r>
        <w:r w:rsidR="00917A91">
          <w:rPr>
            <w:noProof/>
            <w:webHidden/>
          </w:rPr>
          <w:instrText xml:space="preserve"> PAGEREF _Toc26875387 \h </w:instrText>
        </w:r>
        <w:r w:rsidR="00917A91">
          <w:rPr>
            <w:noProof/>
            <w:webHidden/>
          </w:rPr>
        </w:r>
        <w:r w:rsidR="00917A91">
          <w:rPr>
            <w:noProof/>
            <w:webHidden/>
          </w:rPr>
          <w:fldChar w:fldCharType="separate"/>
        </w:r>
        <w:r w:rsidR="00F565A3">
          <w:rPr>
            <w:noProof/>
            <w:webHidden/>
          </w:rPr>
          <w:t>19</w:t>
        </w:r>
        <w:r w:rsidR="00917A91">
          <w:rPr>
            <w:noProof/>
            <w:webHidden/>
          </w:rPr>
          <w:fldChar w:fldCharType="end"/>
        </w:r>
      </w:hyperlink>
    </w:p>
    <w:p w14:paraId="2C76CD8E" w14:textId="3D32DF02" w:rsidR="00DA7F79" w:rsidRDefault="00035545" w:rsidP="00EF2FB2">
      <w:pPr>
        <w:sectPr w:rsidR="00DA7F79" w:rsidSect="008F1354">
          <w:footerReference w:type="default" r:id="rId8"/>
          <w:headerReference w:type="first" r:id="rId9"/>
          <w:pgSz w:w="11906" w:h="16838"/>
          <w:pgMar w:top="1134" w:right="1134" w:bottom="1134" w:left="1134" w:header="709" w:footer="709" w:gutter="0"/>
          <w:cols w:space="720"/>
          <w:titlePg/>
          <w:docGrid w:linePitch="360" w:charSpace="-2049"/>
        </w:sectPr>
      </w:pPr>
      <w:r w:rsidRPr="00EF2FB2">
        <w:rPr>
          <w:b/>
          <w:bCs/>
          <w:noProof/>
          <w:sz w:val="20"/>
        </w:rPr>
        <w:fldChar w:fldCharType="end"/>
      </w:r>
    </w:p>
    <w:p w14:paraId="64B88A04" w14:textId="77777777" w:rsidR="00883D6D" w:rsidRPr="00883D6D" w:rsidRDefault="00883D6D" w:rsidP="00883D6D">
      <w:pPr>
        <w:pStyle w:val="Heading1"/>
      </w:pPr>
      <w:bookmarkStart w:id="0" w:name="_Toc26875366"/>
      <w:r>
        <w:lastRenderedPageBreak/>
        <w:t>1.  INTRODUCTION</w:t>
      </w:r>
      <w:bookmarkEnd w:id="0"/>
    </w:p>
    <w:p w14:paraId="16939598" w14:textId="77777777" w:rsidR="00883D6D" w:rsidRPr="00883D6D" w:rsidRDefault="00883D6D" w:rsidP="00883D6D">
      <w:pPr>
        <w:pStyle w:val="NoSpacing"/>
        <w:spacing w:line="240" w:lineRule="auto"/>
        <w:rPr>
          <w:rFonts w:ascii="Arial" w:hAnsi="Arial" w:cs="Arial"/>
        </w:rPr>
      </w:pPr>
    </w:p>
    <w:p w14:paraId="36DEAF67" w14:textId="77777777" w:rsidR="00172C11" w:rsidRPr="00883D6D" w:rsidRDefault="00172C11" w:rsidP="00883D6D">
      <w:pPr>
        <w:pStyle w:val="NoSpacing"/>
        <w:spacing w:line="240" w:lineRule="auto"/>
        <w:rPr>
          <w:rFonts w:ascii="Arial" w:hAnsi="Arial" w:cs="Arial"/>
          <w:b/>
          <w:sz w:val="24"/>
          <w:szCs w:val="24"/>
        </w:rPr>
      </w:pPr>
      <w:r w:rsidRPr="00883D6D">
        <w:rPr>
          <w:rFonts w:ascii="Arial" w:hAnsi="Arial" w:cs="Arial"/>
        </w:rPr>
        <w:t xml:space="preserve">This </w:t>
      </w:r>
      <w:r w:rsidR="00F73003" w:rsidRPr="00C2457D">
        <w:rPr>
          <w:rFonts w:ascii="Arial" w:hAnsi="Arial" w:cs="Arial"/>
        </w:rPr>
        <w:t>Operational policy</w:t>
      </w:r>
      <w:r w:rsidRPr="00883D6D">
        <w:rPr>
          <w:rFonts w:ascii="Arial" w:hAnsi="Arial" w:cs="Arial"/>
        </w:rPr>
        <w:t xml:space="preserve"> document sets out North East Lincolnshire Clinical Commissioning Group’s (NELCCG) intentions to ensure that all patients meeting NHS Continuing Healthcare (CHC) eligibility criteria </w:t>
      </w:r>
      <w:proofErr w:type="gramStart"/>
      <w:r w:rsidRPr="00883D6D">
        <w:rPr>
          <w:rFonts w:ascii="Arial" w:hAnsi="Arial" w:cs="Arial"/>
        </w:rPr>
        <w:t>have the opportunity to</w:t>
      </w:r>
      <w:proofErr w:type="gramEnd"/>
      <w:r w:rsidRPr="00883D6D">
        <w:rPr>
          <w:rFonts w:ascii="Arial" w:hAnsi="Arial" w:cs="Arial"/>
        </w:rPr>
        <w:t xml:space="preserve"> be offered and/or receive a personal health budget (PHB) in line with national guidance. A key aim of this guidance is to ensure that a consistent and transparent approach is applied to the development and approval of all support plans.</w:t>
      </w:r>
    </w:p>
    <w:p w14:paraId="17FBCB53" w14:textId="77777777" w:rsidR="00172C11" w:rsidRPr="00883D6D" w:rsidRDefault="00172C11" w:rsidP="00883D6D">
      <w:pPr>
        <w:pStyle w:val="NoSpacing"/>
        <w:spacing w:line="240" w:lineRule="auto"/>
        <w:rPr>
          <w:rFonts w:ascii="Arial" w:hAnsi="Arial" w:cs="Arial"/>
        </w:rPr>
      </w:pPr>
    </w:p>
    <w:p w14:paraId="31B3FEE1" w14:textId="77777777" w:rsidR="00172C11" w:rsidRPr="00883D6D" w:rsidRDefault="00172C11" w:rsidP="00883D6D">
      <w:pPr>
        <w:pStyle w:val="NoSpacing"/>
        <w:spacing w:line="240" w:lineRule="auto"/>
        <w:rPr>
          <w:rFonts w:ascii="Arial" w:hAnsi="Arial" w:cs="Arial"/>
        </w:rPr>
      </w:pPr>
      <w:r w:rsidRPr="00883D6D">
        <w:rPr>
          <w:rFonts w:ascii="Arial" w:hAnsi="Arial" w:cs="Arial"/>
        </w:rPr>
        <w:t xml:space="preserve">NEL CCG will work in conjunction with its partner organisations to deliver an integrated PHB offer through the NHS Continuing Healthcare service team and dedicated personal health budget staff. An integrated PHB offer will be achieved through a system of support planning for patients who have chosen to develop a PHB in response to meet their health and social outcomes. This document operates within the wider guidance outlined by the Department of Health for co-production and patient centred commissioning and the National Framework for Continuing Healthcare (revised </w:t>
      </w:r>
      <w:r w:rsidR="00F73003" w:rsidRPr="00C2457D">
        <w:rPr>
          <w:rFonts w:ascii="Arial" w:hAnsi="Arial" w:cs="Arial"/>
        </w:rPr>
        <w:t>October</w:t>
      </w:r>
      <w:r w:rsidRPr="00C2457D">
        <w:rPr>
          <w:rFonts w:ascii="Arial" w:hAnsi="Arial" w:cs="Arial"/>
        </w:rPr>
        <w:t xml:space="preserve"> 201</w:t>
      </w:r>
      <w:r w:rsidR="00F73003" w:rsidRPr="00C2457D">
        <w:rPr>
          <w:rFonts w:ascii="Arial" w:hAnsi="Arial" w:cs="Arial"/>
        </w:rPr>
        <w:t>8</w:t>
      </w:r>
      <w:r w:rsidRPr="00C2457D">
        <w:rPr>
          <w:rFonts w:ascii="Arial" w:hAnsi="Arial" w:cs="Arial"/>
        </w:rPr>
        <w:t>).</w:t>
      </w:r>
    </w:p>
    <w:p w14:paraId="6145BB67" w14:textId="77777777" w:rsidR="00172C11" w:rsidRPr="00883D6D" w:rsidRDefault="00172C11" w:rsidP="00883D6D">
      <w:pPr>
        <w:pStyle w:val="NoSpacing"/>
        <w:spacing w:line="240" w:lineRule="auto"/>
        <w:rPr>
          <w:rFonts w:ascii="Arial" w:hAnsi="Arial" w:cs="Arial"/>
        </w:rPr>
      </w:pPr>
    </w:p>
    <w:p w14:paraId="4B334B10" w14:textId="77777777" w:rsidR="00172C11" w:rsidRPr="00883D6D" w:rsidRDefault="00883D6D" w:rsidP="00883D6D">
      <w:pPr>
        <w:pStyle w:val="NoSpacing"/>
        <w:spacing w:line="240" w:lineRule="auto"/>
        <w:rPr>
          <w:rFonts w:ascii="Arial" w:hAnsi="Arial" w:cs="Arial"/>
        </w:rPr>
      </w:pPr>
      <w:r w:rsidRPr="00883D6D">
        <w:rPr>
          <w:rFonts w:ascii="Arial" w:hAnsi="Arial" w:cs="Arial"/>
        </w:rPr>
        <w:t>S</w:t>
      </w:r>
      <w:r w:rsidR="00172C11" w:rsidRPr="00883D6D">
        <w:rPr>
          <w:rFonts w:ascii="Arial" w:hAnsi="Arial" w:cs="Arial"/>
        </w:rPr>
        <w:t>upport planning will assure NEL CCG that the patient has ownership throughout the process. The patient will lead the development of the plan, with assistance from CHC/PHB complex case nurses. If the patient is unable to prepare their own support plan, their contribution should guide the preparation of the support plan as much as possible. Support planning will allow the identification of desired health outcomes and related goals which can be referred to by the patient, family and health and social care professionals to promote improved health and wellbeing.</w:t>
      </w:r>
    </w:p>
    <w:p w14:paraId="13DC4541" w14:textId="390AD09E" w:rsidR="002B5A68" w:rsidRPr="00883D6D" w:rsidRDefault="002B5A68" w:rsidP="00883D6D">
      <w:pPr>
        <w:pStyle w:val="NoSpacing"/>
        <w:spacing w:line="240" w:lineRule="auto"/>
        <w:rPr>
          <w:rFonts w:ascii="Arial" w:hAnsi="Arial" w:cs="Arial"/>
        </w:rPr>
      </w:pPr>
    </w:p>
    <w:p w14:paraId="045987CA" w14:textId="77777777" w:rsidR="00172C11" w:rsidRPr="009256EE" w:rsidRDefault="00883D6D" w:rsidP="00883D6D">
      <w:pPr>
        <w:pStyle w:val="Heading1"/>
        <w:rPr>
          <w:lang w:eastAsia="en-US"/>
        </w:rPr>
      </w:pPr>
      <w:bookmarkStart w:id="1" w:name="_Toc26875367"/>
      <w:r>
        <w:rPr>
          <w:lang w:eastAsia="en-US"/>
        </w:rPr>
        <w:t>2.  SCOPE</w:t>
      </w:r>
      <w:bookmarkEnd w:id="1"/>
    </w:p>
    <w:p w14:paraId="79BAF432" w14:textId="77777777" w:rsidR="00883D6D" w:rsidRDefault="00883D6D" w:rsidP="00883D6D">
      <w:pPr>
        <w:pStyle w:val="NoSpacing"/>
        <w:spacing w:line="240" w:lineRule="auto"/>
      </w:pPr>
    </w:p>
    <w:p w14:paraId="14371BA0" w14:textId="77777777" w:rsidR="00172C11" w:rsidRPr="00883D6D" w:rsidRDefault="00172C11" w:rsidP="00883D6D">
      <w:pPr>
        <w:pStyle w:val="NoSpacing"/>
        <w:spacing w:line="240" w:lineRule="auto"/>
        <w:rPr>
          <w:rFonts w:ascii="Arial" w:hAnsi="Arial" w:cs="Arial"/>
        </w:rPr>
      </w:pPr>
      <w:r w:rsidRPr="00883D6D">
        <w:rPr>
          <w:rFonts w:ascii="Arial" w:hAnsi="Arial" w:cs="Arial"/>
        </w:rPr>
        <w:t xml:space="preserve">This </w:t>
      </w:r>
      <w:r w:rsidR="00F73003" w:rsidRPr="00C2457D">
        <w:rPr>
          <w:rFonts w:ascii="Arial" w:hAnsi="Arial" w:cs="Arial"/>
        </w:rPr>
        <w:t>Operational Policy</w:t>
      </w:r>
      <w:r w:rsidRPr="00883D6D">
        <w:rPr>
          <w:rFonts w:ascii="Arial" w:hAnsi="Arial" w:cs="Arial"/>
        </w:rPr>
        <w:t xml:space="preserve"> includes all patients assessed as eligible for NHS Continuing Healthcare and meeting the criteria for a PHB.</w:t>
      </w:r>
    </w:p>
    <w:p w14:paraId="212B8D89" w14:textId="77777777" w:rsidR="00172C11" w:rsidRPr="00883D6D" w:rsidRDefault="00172C11" w:rsidP="00883D6D">
      <w:pPr>
        <w:pStyle w:val="NoSpacing"/>
        <w:spacing w:line="240" w:lineRule="auto"/>
        <w:rPr>
          <w:rFonts w:ascii="Arial" w:hAnsi="Arial" w:cs="Arial"/>
        </w:rPr>
      </w:pPr>
    </w:p>
    <w:p w14:paraId="1EE19464" w14:textId="77777777" w:rsidR="00172C11" w:rsidRPr="00883D6D" w:rsidRDefault="00172C11" w:rsidP="00883D6D">
      <w:pPr>
        <w:pStyle w:val="NoSpacing"/>
        <w:spacing w:line="240" w:lineRule="auto"/>
        <w:rPr>
          <w:rFonts w:ascii="Arial" w:hAnsi="Arial" w:cs="Arial"/>
        </w:rPr>
      </w:pPr>
      <w:r w:rsidRPr="00883D6D">
        <w:rPr>
          <w:rFonts w:ascii="Arial" w:hAnsi="Arial" w:cs="Arial"/>
        </w:rPr>
        <w:t>A personal health budget is an amount of money assigned to an eligible individual to address assessed health and wellbeing needs. The personal health budget is planned and agreed between the individual and their local NHS team.</w:t>
      </w:r>
    </w:p>
    <w:p w14:paraId="4F068F14" w14:textId="77777777" w:rsidR="00172C11" w:rsidRPr="00883D6D" w:rsidRDefault="00172C11" w:rsidP="00883D6D">
      <w:pPr>
        <w:pStyle w:val="NoSpacing"/>
        <w:spacing w:line="240" w:lineRule="auto"/>
        <w:rPr>
          <w:rFonts w:ascii="Arial" w:hAnsi="Arial" w:cs="Arial"/>
        </w:rPr>
      </w:pPr>
    </w:p>
    <w:p w14:paraId="49ABC86F" w14:textId="77777777" w:rsidR="00172C11" w:rsidRDefault="00172C11" w:rsidP="00883D6D">
      <w:pPr>
        <w:pStyle w:val="NoSpacing"/>
        <w:spacing w:line="240" w:lineRule="auto"/>
        <w:rPr>
          <w:rFonts w:ascii="Arial" w:hAnsi="Arial" w:cs="Arial"/>
        </w:rPr>
      </w:pPr>
      <w:r w:rsidRPr="00883D6D">
        <w:rPr>
          <w:rFonts w:ascii="Arial" w:hAnsi="Arial" w:cs="Arial"/>
        </w:rPr>
        <w:t>All patients newly eligible for NHS Continuing Healthcare from 1st April 2014 were offered and have the right to request a personal health budget as an alternative to a ‘traditional’ care pathway. From 1st October 2014 these individuals have a right to have a personal health budget. The CCG CHC Team record and report the numbers of patients being offered and taking up a PHB as part of the national benchmarking data.</w:t>
      </w:r>
    </w:p>
    <w:p w14:paraId="5E351FD1" w14:textId="77777777" w:rsidR="00F73003" w:rsidRPr="00883D6D" w:rsidRDefault="00F73003" w:rsidP="00883D6D">
      <w:pPr>
        <w:pStyle w:val="NoSpacing"/>
        <w:spacing w:line="240" w:lineRule="auto"/>
        <w:rPr>
          <w:rFonts w:ascii="Arial" w:hAnsi="Arial" w:cs="Arial"/>
        </w:rPr>
      </w:pPr>
    </w:p>
    <w:p w14:paraId="3712786E" w14:textId="77777777" w:rsidR="00F73003" w:rsidRPr="00C2457D" w:rsidRDefault="00F73003" w:rsidP="008454B6">
      <w:pPr>
        <w:spacing w:line="240" w:lineRule="auto"/>
        <w:rPr>
          <w:rFonts w:cs="Arial"/>
          <w:kern w:val="0"/>
          <w:szCs w:val="22"/>
          <w:lang w:eastAsia="en-US"/>
        </w:rPr>
      </w:pPr>
      <w:r w:rsidRPr="00C2457D">
        <w:rPr>
          <w:rFonts w:cs="Arial"/>
          <w:kern w:val="0"/>
          <w:szCs w:val="22"/>
          <w:lang w:eastAsia="en-US"/>
        </w:rPr>
        <w:t>A PHB is a different way of spending health funding to give people with long term health conditions and disabilities more choice and control over how their health and wellbeing needs are met.</w:t>
      </w:r>
    </w:p>
    <w:p w14:paraId="5AA2F631" w14:textId="77777777" w:rsidR="00F73003" w:rsidRPr="00C2457D" w:rsidRDefault="00F73003" w:rsidP="008454B6">
      <w:pPr>
        <w:ind w:left="720"/>
        <w:contextualSpacing/>
        <w:rPr>
          <w:rFonts w:cs="Arial"/>
          <w:kern w:val="0"/>
          <w:szCs w:val="22"/>
          <w:lang w:eastAsia="en-US"/>
        </w:rPr>
      </w:pPr>
    </w:p>
    <w:p w14:paraId="7512EF95" w14:textId="32D8E154" w:rsidR="00F73003" w:rsidRDefault="00F73003" w:rsidP="00917A91">
      <w:pPr>
        <w:spacing w:line="240" w:lineRule="auto"/>
        <w:rPr>
          <w:rFonts w:cs="Arial"/>
          <w:kern w:val="0"/>
          <w:szCs w:val="22"/>
          <w:lang w:eastAsia="en-US"/>
        </w:rPr>
      </w:pPr>
      <w:r w:rsidRPr="00C2457D">
        <w:rPr>
          <w:rFonts w:cs="Arial"/>
          <w:kern w:val="0"/>
          <w:szCs w:val="22"/>
          <w:lang w:eastAsia="en-US"/>
        </w:rPr>
        <w:t>This Policy outlines the local procedure for achievin</w:t>
      </w:r>
      <w:r w:rsidR="008454B6" w:rsidRPr="00C2457D">
        <w:rPr>
          <w:rFonts w:cs="Arial"/>
          <w:kern w:val="0"/>
          <w:szCs w:val="22"/>
          <w:lang w:eastAsia="en-US"/>
        </w:rPr>
        <w:t>g and the implementation of PHB</w:t>
      </w:r>
      <w:r w:rsidRPr="00C2457D">
        <w:rPr>
          <w:rFonts w:cs="Arial"/>
          <w:kern w:val="0"/>
          <w:szCs w:val="22"/>
          <w:lang w:eastAsia="en-US"/>
        </w:rPr>
        <w:t xml:space="preserve">s by balancing choice, risk, </w:t>
      </w:r>
      <w:proofErr w:type="gramStart"/>
      <w:r w:rsidRPr="00C2457D">
        <w:rPr>
          <w:rFonts w:cs="Arial"/>
          <w:kern w:val="0"/>
          <w:szCs w:val="22"/>
          <w:lang w:eastAsia="en-US"/>
        </w:rPr>
        <w:t>rights</w:t>
      </w:r>
      <w:proofErr w:type="gramEnd"/>
      <w:r w:rsidRPr="00C2457D">
        <w:rPr>
          <w:rFonts w:cs="Arial"/>
          <w:kern w:val="0"/>
          <w:szCs w:val="22"/>
          <w:lang w:eastAsia="en-US"/>
        </w:rPr>
        <w:t xml:space="preserve"> and responsibilities. It recognises in the right </w:t>
      </w:r>
      <w:proofErr w:type="gramStart"/>
      <w:r w:rsidRPr="00C2457D">
        <w:rPr>
          <w:rFonts w:cs="Arial"/>
          <w:kern w:val="0"/>
          <w:szCs w:val="22"/>
          <w:lang w:eastAsia="en-US"/>
        </w:rPr>
        <w:t>circumstances,</w:t>
      </w:r>
      <w:proofErr w:type="gramEnd"/>
      <w:r w:rsidRPr="00C2457D">
        <w:rPr>
          <w:rFonts w:cs="Arial"/>
          <w:kern w:val="0"/>
          <w:szCs w:val="22"/>
          <w:lang w:eastAsia="en-US"/>
        </w:rPr>
        <w:t xml:space="preserve"> risk can be managed so as to promote a culture of choice and independence that encourages responsible supported decision making.</w:t>
      </w:r>
    </w:p>
    <w:p w14:paraId="45491EAB" w14:textId="77777777" w:rsidR="00917A91" w:rsidRPr="00917A91" w:rsidRDefault="00917A91" w:rsidP="00917A91">
      <w:pPr>
        <w:spacing w:line="240" w:lineRule="auto"/>
        <w:rPr>
          <w:rFonts w:cs="Arial"/>
          <w:kern w:val="0"/>
          <w:szCs w:val="22"/>
          <w:highlight w:val="yellow"/>
          <w:lang w:eastAsia="en-US"/>
        </w:rPr>
      </w:pPr>
    </w:p>
    <w:p w14:paraId="727E1F50" w14:textId="77777777" w:rsidR="00172C11" w:rsidRPr="009256EE" w:rsidRDefault="0023452C" w:rsidP="0023452C">
      <w:pPr>
        <w:pStyle w:val="Heading1"/>
        <w:rPr>
          <w:lang w:eastAsia="en-US"/>
        </w:rPr>
      </w:pPr>
      <w:bookmarkStart w:id="2" w:name="_Toc26875368"/>
      <w:r>
        <w:rPr>
          <w:lang w:eastAsia="en-US"/>
        </w:rPr>
        <w:t>3.  OBJECTIVE</w:t>
      </w:r>
      <w:bookmarkEnd w:id="2"/>
      <w:r>
        <w:rPr>
          <w:lang w:eastAsia="en-US"/>
        </w:rPr>
        <w:tab/>
      </w:r>
    </w:p>
    <w:p w14:paraId="6B842763" w14:textId="77777777" w:rsidR="00172C11" w:rsidRPr="0023452C" w:rsidRDefault="00172C11" w:rsidP="0023452C">
      <w:pPr>
        <w:pStyle w:val="NoSpacing"/>
        <w:rPr>
          <w:rFonts w:ascii="Arial" w:hAnsi="Arial" w:cs="Arial"/>
        </w:rPr>
      </w:pPr>
    </w:p>
    <w:p w14:paraId="47E7ED63" w14:textId="77777777" w:rsidR="00172C11" w:rsidRPr="0023452C" w:rsidRDefault="00172C11" w:rsidP="0023452C">
      <w:pPr>
        <w:pStyle w:val="NoSpacing"/>
        <w:spacing w:line="240" w:lineRule="auto"/>
        <w:rPr>
          <w:rFonts w:ascii="Arial" w:hAnsi="Arial" w:cs="Arial"/>
        </w:rPr>
      </w:pPr>
      <w:r w:rsidRPr="0023452C">
        <w:rPr>
          <w:rFonts w:ascii="Arial" w:hAnsi="Arial" w:cs="Arial"/>
        </w:rPr>
        <w:t xml:space="preserve">This </w:t>
      </w:r>
      <w:r w:rsidR="00F73003" w:rsidRPr="00C2457D">
        <w:rPr>
          <w:rFonts w:ascii="Arial" w:hAnsi="Arial" w:cs="Arial"/>
        </w:rPr>
        <w:t>document</w:t>
      </w:r>
      <w:r w:rsidR="00F73003">
        <w:rPr>
          <w:rFonts w:ascii="Arial" w:hAnsi="Arial" w:cs="Arial"/>
        </w:rPr>
        <w:t xml:space="preserve"> </w:t>
      </w:r>
      <w:r w:rsidRPr="0023452C">
        <w:rPr>
          <w:rFonts w:ascii="Arial" w:hAnsi="Arial" w:cs="Arial"/>
        </w:rPr>
        <w:t xml:space="preserve">will act as a guide to support the process of planning, placing emphasis on ownership, co-production, </w:t>
      </w:r>
      <w:proofErr w:type="gramStart"/>
      <w:r w:rsidRPr="0023452C">
        <w:rPr>
          <w:rFonts w:ascii="Arial" w:hAnsi="Arial" w:cs="Arial"/>
        </w:rPr>
        <w:t>transparency</w:t>
      </w:r>
      <w:proofErr w:type="gramEnd"/>
      <w:r w:rsidRPr="0023452C">
        <w:rPr>
          <w:rFonts w:ascii="Arial" w:hAnsi="Arial" w:cs="Arial"/>
        </w:rPr>
        <w:t xml:space="preserve"> and support as and when required</w:t>
      </w:r>
      <w:r w:rsidR="0023452C">
        <w:rPr>
          <w:rFonts w:ascii="Arial" w:hAnsi="Arial" w:cs="Arial"/>
        </w:rPr>
        <w:t xml:space="preserve"> and</w:t>
      </w:r>
      <w:r w:rsidRPr="0023452C">
        <w:rPr>
          <w:rFonts w:ascii="Arial" w:hAnsi="Arial" w:cs="Arial"/>
        </w:rPr>
        <w:t xml:space="preserve"> will complement detailed process documents</w:t>
      </w:r>
    </w:p>
    <w:p w14:paraId="278AC283" w14:textId="77777777" w:rsidR="00172C11" w:rsidRPr="0023452C" w:rsidRDefault="00172C11" w:rsidP="0023452C">
      <w:pPr>
        <w:pStyle w:val="NoSpacing"/>
        <w:spacing w:line="240" w:lineRule="auto"/>
        <w:rPr>
          <w:rFonts w:ascii="Arial" w:hAnsi="Arial" w:cs="Arial"/>
        </w:rPr>
      </w:pPr>
    </w:p>
    <w:p w14:paraId="1154E360" w14:textId="77777777" w:rsidR="00172C11" w:rsidRDefault="00172C11" w:rsidP="0023452C">
      <w:pPr>
        <w:pStyle w:val="NoSpacing"/>
        <w:spacing w:line="240" w:lineRule="auto"/>
        <w:rPr>
          <w:rFonts w:ascii="Arial" w:hAnsi="Arial" w:cs="Arial"/>
        </w:rPr>
      </w:pPr>
      <w:r w:rsidRPr="0023452C">
        <w:rPr>
          <w:rFonts w:ascii="Arial" w:hAnsi="Arial" w:cs="Arial"/>
        </w:rPr>
        <w:lastRenderedPageBreak/>
        <w:t xml:space="preserve">This </w:t>
      </w:r>
      <w:r w:rsidR="00F73003" w:rsidRPr="00C2457D">
        <w:rPr>
          <w:rFonts w:ascii="Arial" w:hAnsi="Arial" w:cs="Arial"/>
        </w:rPr>
        <w:t>document</w:t>
      </w:r>
      <w:r w:rsidRPr="0023452C">
        <w:rPr>
          <w:rFonts w:ascii="Arial" w:hAnsi="Arial" w:cs="Arial"/>
        </w:rPr>
        <w:t xml:space="preserve"> will promote and offer patient choice and control of services received within Continuing Healthcare with the aim that there is the opportunity for the patient to move away from being a passive recipient of service provision. </w:t>
      </w:r>
    </w:p>
    <w:p w14:paraId="00A38DCE" w14:textId="77777777" w:rsidR="0023452C" w:rsidRPr="0023452C" w:rsidRDefault="0023452C" w:rsidP="0023452C">
      <w:pPr>
        <w:pStyle w:val="NoSpacing"/>
        <w:spacing w:line="240" w:lineRule="auto"/>
        <w:rPr>
          <w:rFonts w:ascii="Arial" w:hAnsi="Arial" w:cs="Arial"/>
        </w:rPr>
      </w:pPr>
    </w:p>
    <w:p w14:paraId="1D83C698" w14:textId="77777777" w:rsidR="00172C11" w:rsidRPr="0023452C" w:rsidRDefault="00172C11" w:rsidP="0023452C">
      <w:pPr>
        <w:pStyle w:val="NoSpacing"/>
        <w:spacing w:line="240" w:lineRule="auto"/>
        <w:rPr>
          <w:rFonts w:ascii="Arial" w:hAnsi="Arial" w:cs="Arial"/>
          <w:i/>
        </w:rPr>
      </w:pPr>
      <w:r w:rsidRPr="0023452C">
        <w:rPr>
          <w:rFonts w:ascii="Arial" w:hAnsi="Arial" w:cs="Arial"/>
          <w:i/>
        </w:rPr>
        <w:t xml:space="preserve">“Personal health budgets are founded on the principle that people can be experts in managing their condition, who with the right information, advice and support can make a good decision that improves their health and wellbeing outcomes” (6) </w:t>
      </w:r>
    </w:p>
    <w:p w14:paraId="636675E2" w14:textId="77777777" w:rsidR="008F1354" w:rsidRPr="009256EE" w:rsidRDefault="008F1354" w:rsidP="0023452C">
      <w:pPr>
        <w:pStyle w:val="NoSpacing"/>
        <w:rPr>
          <w:b/>
          <w:bCs/>
        </w:rPr>
      </w:pPr>
    </w:p>
    <w:p w14:paraId="6CC53B13" w14:textId="77777777" w:rsidR="004C5F69" w:rsidRPr="002017B4" w:rsidRDefault="00BC4158" w:rsidP="002017B4">
      <w:pPr>
        <w:pStyle w:val="Heading1"/>
        <w:rPr>
          <w:lang w:eastAsia="en-US"/>
        </w:rPr>
      </w:pPr>
      <w:bookmarkStart w:id="3" w:name="_Toc529822888"/>
      <w:bookmarkStart w:id="4" w:name="_Toc26875369"/>
      <w:r>
        <w:rPr>
          <w:lang w:eastAsia="en-US"/>
        </w:rPr>
        <w:t>4.</w:t>
      </w:r>
      <w:r w:rsidR="004C5F69" w:rsidRPr="004C5F69">
        <w:rPr>
          <w:lang w:eastAsia="en-US"/>
        </w:rPr>
        <w:tab/>
        <w:t>IMPACT ANALYSES</w:t>
      </w:r>
      <w:bookmarkEnd w:id="3"/>
      <w:bookmarkEnd w:id="4"/>
      <w:r w:rsidR="004C5F69" w:rsidRPr="004C5F69">
        <w:rPr>
          <w:lang w:eastAsia="en-US"/>
        </w:rPr>
        <w:t xml:space="preserve"> </w:t>
      </w:r>
    </w:p>
    <w:p w14:paraId="6578337F" w14:textId="77777777" w:rsidR="004C5F69" w:rsidRPr="002017B4" w:rsidRDefault="004C5F69" w:rsidP="002B5A68">
      <w:pPr>
        <w:pStyle w:val="Heading2"/>
        <w:ind w:left="284"/>
        <w:rPr>
          <w:rFonts w:ascii="Arial" w:eastAsia="Calibri" w:hAnsi="Arial" w:cs="Arial"/>
          <w:color w:val="auto"/>
          <w:sz w:val="22"/>
          <w:szCs w:val="22"/>
          <w:lang w:eastAsia="en-US"/>
        </w:rPr>
      </w:pPr>
      <w:bookmarkStart w:id="5" w:name="_Toc26875370"/>
      <w:r w:rsidRPr="002017B4">
        <w:rPr>
          <w:rFonts w:ascii="Arial" w:eastAsia="Calibri" w:hAnsi="Arial" w:cs="Arial"/>
          <w:color w:val="auto"/>
          <w:sz w:val="22"/>
          <w:szCs w:val="22"/>
          <w:lang w:eastAsia="en-US"/>
        </w:rPr>
        <w:t>4.1 Equality</w:t>
      </w:r>
      <w:bookmarkEnd w:id="5"/>
    </w:p>
    <w:p w14:paraId="4F5C890B" w14:textId="77777777" w:rsidR="004C5F69" w:rsidRPr="004C5F69" w:rsidRDefault="004C5F69" w:rsidP="00D730DF">
      <w:pPr>
        <w:autoSpaceDE w:val="0"/>
        <w:autoSpaceDN w:val="0"/>
        <w:adjustRightInd w:val="0"/>
        <w:spacing w:line="240" w:lineRule="auto"/>
        <w:ind w:left="436"/>
        <w:contextualSpacing/>
        <w:rPr>
          <w:rFonts w:eastAsia="Calibri" w:cs="Arial"/>
          <w:iCs/>
          <w:kern w:val="0"/>
          <w:szCs w:val="22"/>
          <w:lang w:eastAsia="en-US"/>
        </w:rPr>
      </w:pPr>
      <w:r w:rsidRPr="004C5F69">
        <w:rPr>
          <w:rFonts w:eastAsia="Calibri" w:cs="Arial"/>
          <w:iCs/>
          <w:kern w:val="0"/>
          <w:szCs w:val="22"/>
          <w:lang w:eastAsia="en-US"/>
        </w:rPr>
        <w:t>The CCG is committed to creating an environment where everyone is treated equitably and the potential for discrimination is identified and mitigated.</w:t>
      </w:r>
    </w:p>
    <w:p w14:paraId="2C025924" w14:textId="77777777" w:rsidR="004C5F69" w:rsidRPr="004C5F69" w:rsidRDefault="004C5F69" w:rsidP="002B5A68">
      <w:pPr>
        <w:autoSpaceDE w:val="0"/>
        <w:autoSpaceDN w:val="0"/>
        <w:adjustRightInd w:val="0"/>
        <w:spacing w:line="240" w:lineRule="auto"/>
        <w:ind w:left="436"/>
        <w:contextualSpacing/>
        <w:jc w:val="left"/>
        <w:rPr>
          <w:rFonts w:eastAsia="Calibri" w:cs="Arial"/>
          <w:iCs/>
          <w:kern w:val="0"/>
          <w:szCs w:val="22"/>
          <w:lang w:eastAsia="en-US"/>
        </w:rPr>
      </w:pPr>
    </w:p>
    <w:p w14:paraId="7122945D" w14:textId="77777777" w:rsidR="00606F85" w:rsidRPr="002017B4" w:rsidRDefault="004C5F69" w:rsidP="00606F85">
      <w:pPr>
        <w:autoSpaceDE w:val="0"/>
        <w:autoSpaceDN w:val="0"/>
        <w:adjustRightInd w:val="0"/>
        <w:spacing w:line="240" w:lineRule="auto"/>
        <w:ind w:left="436"/>
        <w:contextualSpacing/>
        <w:rPr>
          <w:rFonts w:eastAsia="Calibri" w:cs="Arial"/>
          <w:iCs/>
          <w:kern w:val="0"/>
          <w:szCs w:val="22"/>
          <w:lang w:eastAsia="en-US"/>
        </w:rPr>
      </w:pPr>
      <w:r w:rsidRPr="002017B4">
        <w:rPr>
          <w:rFonts w:eastAsia="Calibri" w:cs="Arial"/>
          <w:iCs/>
          <w:kern w:val="0"/>
          <w:szCs w:val="22"/>
          <w:lang w:eastAsia="en-US"/>
        </w:rPr>
        <w:t xml:space="preserve">As a result of preforming the screening analysis, the policy does not appear to have any adverse effects on people who share Protected </w:t>
      </w:r>
      <w:proofErr w:type="gramStart"/>
      <w:r w:rsidRPr="002017B4">
        <w:rPr>
          <w:rFonts w:eastAsia="Calibri" w:cs="Arial"/>
          <w:iCs/>
          <w:kern w:val="0"/>
          <w:szCs w:val="22"/>
          <w:lang w:eastAsia="en-US"/>
        </w:rPr>
        <w:t>Characteristics</w:t>
      </w:r>
      <w:proofErr w:type="gramEnd"/>
      <w:r w:rsidRPr="002017B4">
        <w:rPr>
          <w:rFonts w:eastAsia="Calibri" w:cs="Arial"/>
          <w:iCs/>
          <w:kern w:val="0"/>
          <w:szCs w:val="22"/>
          <w:lang w:eastAsia="en-US"/>
        </w:rPr>
        <w:t xml:space="preserve"> and no further actions are recommended at this stage</w:t>
      </w:r>
      <w:r w:rsidR="002017B4">
        <w:rPr>
          <w:rFonts w:eastAsia="Calibri" w:cs="Arial"/>
          <w:iCs/>
          <w:kern w:val="0"/>
          <w:szCs w:val="22"/>
          <w:lang w:eastAsia="en-US"/>
        </w:rPr>
        <w:t>.</w:t>
      </w:r>
      <w:r w:rsidR="00606F85">
        <w:rPr>
          <w:rFonts w:eastAsia="Calibri" w:cs="Arial"/>
          <w:iCs/>
          <w:kern w:val="0"/>
          <w:szCs w:val="22"/>
          <w:lang w:eastAsia="en-US"/>
        </w:rPr>
        <w:t xml:space="preserve">  The equality impact assessment can be accessed </w:t>
      </w:r>
      <w:hyperlink r:id="rId10" w:history="1">
        <w:r w:rsidR="00606F85" w:rsidRPr="00606F85">
          <w:rPr>
            <w:rStyle w:val="Hyperlink"/>
            <w:rFonts w:eastAsia="Calibri" w:cs="Arial"/>
            <w:iCs/>
            <w:color w:val="0070C0"/>
            <w:kern w:val="0"/>
            <w:szCs w:val="22"/>
            <w:lang w:eastAsia="en-US"/>
          </w:rPr>
          <w:t>here</w:t>
        </w:r>
      </w:hyperlink>
    </w:p>
    <w:p w14:paraId="56A2AF44" w14:textId="77777777" w:rsidR="004C5F69" w:rsidRPr="00571F67" w:rsidRDefault="004C5F69" w:rsidP="002B5A68">
      <w:pPr>
        <w:pStyle w:val="Heading2"/>
        <w:ind w:left="284"/>
        <w:rPr>
          <w:rFonts w:eastAsia="Calibri" w:cs="Arial"/>
          <w:color w:val="000000"/>
          <w:kern w:val="0"/>
          <w:szCs w:val="22"/>
          <w:lang w:eastAsia="en-US"/>
        </w:rPr>
      </w:pPr>
      <w:bookmarkStart w:id="6" w:name="_Toc26875371"/>
      <w:r w:rsidRPr="002017B4">
        <w:rPr>
          <w:rFonts w:ascii="Arial" w:eastAsia="Calibri" w:hAnsi="Arial" w:cs="Arial"/>
          <w:color w:val="auto"/>
          <w:sz w:val="22"/>
          <w:szCs w:val="22"/>
          <w:lang w:eastAsia="en-US"/>
        </w:rPr>
        <w:t>4.2 Bribery Act 2010</w:t>
      </w:r>
      <w:bookmarkEnd w:id="6"/>
    </w:p>
    <w:p w14:paraId="3A2AAABB" w14:textId="77777777" w:rsidR="004C5F69" w:rsidRPr="004C5F69" w:rsidRDefault="004C5F69" w:rsidP="002B5A68">
      <w:pPr>
        <w:autoSpaceDE w:val="0"/>
        <w:autoSpaceDN w:val="0"/>
        <w:adjustRightInd w:val="0"/>
        <w:spacing w:line="240" w:lineRule="auto"/>
        <w:ind w:left="436"/>
        <w:rPr>
          <w:rFonts w:eastAsia="Calibri" w:cs="Arial"/>
          <w:color w:val="000000"/>
          <w:kern w:val="0"/>
          <w:szCs w:val="22"/>
          <w:lang w:eastAsia="en-US"/>
        </w:rPr>
      </w:pPr>
      <w:r w:rsidRPr="004C5F69">
        <w:rPr>
          <w:rFonts w:eastAsia="Calibri" w:cs="Arial"/>
          <w:color w:val="000000"/>
          <w:kern w:val="0"/>
          <w:szCs w:val="22"/>
          <w:lang w:eastAsia="en-US"/>
        </w:rPr>
        <w:t xml:space="preserve">The relevance of the Bribery Act 2010 must be considered in respect of every policy.  </w:t>
      </w:r>
    </w:p>
    <w:p w14:paraId="11E49869" w14:textId="77777777" w:rsidR="004C5F69" w:rsidRPr="004C5F69" w:rsidRDefault="004C5F69" w:rsidP="002B5A68">
      <w:pPr>
        <w:autoSpaceDE w:val="0"/>
        <w:autoSpaceDN w:val="0"/>
        <w:adjustRightInd w:val="0"/>
        <w:spacing w:line="240" w:lineRule="auto"/>
        <w:ind w:left="436"/>
        <w:rPr>
          <w:rFonts w:eastAsia="Calibri" w:cs="Arial"/>
          <w:color w:val="000000"/>
          <w:kern w:val="0"/>
          <w:szCs w:val="22"/>
          <w:lang w:eastAsia="en-US"/>
        </w:rPr>
      </w:pPr>
    </w:p>
    <w:p w14:paraId="661F0B00" w14:textId="529109ED" w:rsidR="00571F67" w:rsidRDefault="004C5F69" w:rsidP="00917A91">
      <w:pPr>
        <w:autoSpaceDE w:val="0"/>
        <w:autoSpaceDN w:val="0"/>
        <w:adjustRightInd w:val="0"/>
        <w:spacing w:line="240" w:lineRule="auto"/>
        <w:ind w:left="436"/>
        <w:rPr>
          <w:rFonts w:eastAsia="Calibri" w:cs="Arial"/>
          <w:color w:val="000000"/>
          <w:kern w:val="0"/>
          <w:szCs w:val="22"/>
          <w:lang w:eastAsia="en-US"/>
        </w:rPr>
      </w:pPr>
      <w:r w:rsidRPr="004C5F69">
        <w:rPr>
          <w:rFonts w:eastAsia="Calibri" w:cs="Arial"/>
          <w:color w:val="000000"/>
          <w:kern w:val="0"/>
          <w:szCs w:val="22"/>
          <w:lang w:eastAsia="en-US"/>
        </w:rPr>
        <w:t>It is considered the Bribery Act 2010 to be relevant to this policy.   Under the Bribery Act it is a criminal offence to:</w:t>
      </w:r>
    </w:p>
    <w:p w14:paraId="4FF5EB1F" w14:textId="77777777" w:rsidR="004C5F69" w:rsidRDefault="00571F67" w:rsidP="00571F67">
      <w:pPr>
        <w:pStyle w:val="ListParagraph"/>
        <w:numPr>
          <w:ilvl w:val="0"/>
          <w:numId w:val="12"/>
        </w:numPr>
        <w:autoSpaceDE w:val="0"/>
        <w:autoSpaceDN w:val="0"/>
        <w:adjustRightInd w:val="0"/>
        <w:spacing w:line="240" w:lineRule="auto"/>
        <w:rPr>
          <w:rFonts w:eastAsia="Calibri" w:cs="Arial"/>
          <w:color w:val="000000"/>
          <w:kern w:val="0"/>
          <w:szCs w:val="22"/>
          <w:lang w:eastAsia="en-US"/>
        </w:rPr>
      </w:pPr>
      <w:r>
        <w:rPr>
          <w:rFonts w:eastAsia="Calibri" w:cs="Arial"/>
          <w:color w:val="000000"/>
          <w:kern w:val="0"/>
          <w:szCs w:val="22"/>
          <w:lang w:eastAsia="en-US"/>
        </w:rPr>
        <w:t xml:space="preserve">Bribe another person by offering, </w:t>
      </w:r>
      <w:proofErr w:type="gramStart"/>
      <w:r>
        <w:rPr>
          <w:rFonts w:eastAsia="Calibri" w:cs="Arial"/>
          <w:color w:val="000000"/>
          <w:kern w:val="0"/>
          <w:szCs w:val="22"/>
          <w:lang w:eastAsia="en-US"/>
        </w:rPr>
        <w:t>promising</w:t>
      </w:r>
      <w:proofErr w:type="gramEnd"/>
      <w:r>
        <w:rPr>
          <w:rFonts w:eastAsia="Calibri" w:cs="Arial"/>
          <w:color w:val="000000"/>
          <w:kern w:val="0"/>
          <w:szCs w:val="22"/>
          <w:lang w:eastAsia="en-US"/>
        </w:rPr>
        <w:t xml:space="preserve"> or giving a financial or other advantage to induce them to perform improperly a relevant function or activity, or as a reward for already having done so; and</w:t>
      </w:r>
    </w:p>
    <w:p w14:paraId="2849E239" w14:textId="77777777" w:rsidR="00571F67" w:rsidRDefault="00571F67" w:rsidP="00571F67">
      <w:pPr>
        <w:pStyle w:val="ListParagraph"/>
        <w:numPr>
          <w:ilvl w:val="0"/>
          <w:numId w:val="12"/>
        </w:numPr>
        <w:autoSpaceDE w:val="0"/>
        <w:autoSpaceDN w:val="0"/>
        <w:adjustRightInd w:val="0"/>
        <w:spacing w:line="240" w:lineRule="auto"/>
        <w:rPr>
          <w:rFonts w:eastAsia="Calibri" w:cs="Arial"/>
          <w:color w:val="000000"/>
          <w:kern w:val="0"/>
          <w:szCs w:val="22"/>
          <w:lang w:eastAsia="en-US"/>
        </w:rPr>
      </w:pPr>
      <w:r>
        <w:rPr>
          <w:rFonts w:eastAsia="Calibri" w:cs="Arial"/>
          <w:color w:val="000000"/>
          <w:kern w:val="0"/>
          <w:szCs w:val="22"/>
          <w:lang w:eastAsia="en-US"/>
        </w:rPr>
        <w:t xml:space="preserve">Be bribed by another person by requesting, agreeing to </w:t>
      </w:r>
      <w:proofErr w:type="gramStart"/>
      <w:r>
        <w:rPr>
          <w:rFonts w:eastAsia="Calibri" w:cs="Arial"/>
          <w:color w:val="000000"/>
          <w:kern w:val="0"/>
          <w:szCs w:val="22"/>
          <w:lang w:eastAsia="en-US"/>
        </w:rPr>
        <w:t>receive</w:t>
      </w:r>
      <w:proofErr w:type="gramEnd"/>
      <w:r>
        <w:rPr>
          <w:rFonts w:eastAsia="Calibri" w:cs="Arial"/>
          <w:color w:val="000000"/>
          <w:kern w:val="0"/>
          <w:szCs w:val="22"/>
          <w:lang w:eastAsia="en-US"/>
        </w:rPr>
        <w:t xml:space="preserve"> or accepting a financial or other advantage with the intention that a relevant function or activity would then be performed improperly, or as a reward for having already done so</w:t>
      </w:r>
    </w:p>
    <w:p w14:paraId="35787601" w14:textId="77777777" w:rsidR="00571F67" w:rsidRDefault="00571F67" w:rsidP="00571F67">
      <w:pPr>
        <w:pStyle w:val="ListParagraph"/>
        <w:numPr>
          <w:ilvl w:val="0"/>
          <w:numId w:val="12"/>
        </w:numPr>
        <w:autoSpaceDE w:val="0"/>
        <w:autoSpaceDN w:val="0"/>
        <w:adjustRightInd w:val="0"/>
        <w:spacing w:line="240" w:lineRule="auto"/>
        <w:rPr>
          <w:rFonts w:eastAsia="Calibri" w:cs="Arial"/>
          <w:color w:val="000000"/>
          <w:kern w:val="0"/>
          <w:szCs w:val="22"/>
          <w:lang w:eastAsia="en-US"/>
        </w:rPr>
      </w:pPr>
      <w:r>
        <w:rPr>
          <w:rFonts w:eastAsia="Calibri" w:cs="Arial"/>
          <w:color w:val="000000"/>
          <w:kern w:val="0"/>
          <w:szCs w:val="22"/>
          <w:lang w:eastAsia="en-US"/>
        </w:rPr>
        <w:t xml:space="preserve">To bribe a foreign public official.  A person will be guilty of this offence if they promise, </w:t>
      </w:r>
      <w:proofErr w:type="gramStart"/>
      <w:r>
        <w:rPr>
          <w:rFonts w:eastAsia="Calibri" w:cs="Arial"/>
          <w:color w:val="000000"/>
          <w:kern w:val="0"/>
          <w:szCs w:val="22"/>
          <w:lang w:eastAsia="en-US"/>
        </w:rPr>
        <w:t>offer</w:t>
      </w:r>
      <w:proofErr w:type="gramEnd"/>
      <w:r>
        <w:rPr>
          <w:rFonts w:eastAsia="Calibri" w:cs="Arial"/>
          <w:color w:val="000000"/>
          <w:kern w:val="0"/>
          <w:szCs w:val="22"/>
          <w:lang w:eastAsia="en-US"/>
        </w:rPr>
        <w:t xml:space="preserve"> or give a financial or other advantage to a foreign public official, either directly or through a third party, where such an advantage is not legitimately due</w:t>
      </w:r>
    </w:p>
    <w:p w14:paraId="6953E146" w14:textId="77777777" w:rsidR="004C5F69" w:rsidRPr="00571F67" w:rsidRDefault="00571F67" w:rsidP="00571F67">
      <w:pPr>
        <w:pStyle w:val="ListParagraph"/>
        <w:numPr>
          <w:ilvl w:val="0"/>
          <w:numId w:val="12"/>
        </w:numPr>
        <w:autoSpaceDE w:val="0"/>
        <w:autoSpaceDN w:val="0"/>
        <w:adjustRightInd w:val="0"/>
        <w:spacing w:line="240" w:lineRule="auto"/>
        <w:rPr>
          <w:rFonts w:eastAsia="Calibri" w:cs="Arial"/>
          <w:color w:val="000000"/>
          <w:kern w:val="0"/>
          <w:szCs w:val="22"/>
          <w:lang w:eastAsia="en-US"/>
        </w:rPr>
      </w:pPr>
      <w:r>
        <w:rPr>
          <w:rFonts w:eastAsia="Calibri" w:cs="Arial"/>
          <w:color w:val="000000"/>
          <w:kern w:val="0"/>
          <w:szCs w:val="22"/>
          <w:lang w:eastAsia="en-US"/>
        </w:rPr>
        <w:t xml:space="preserve">If commercials organisation </w:t>
      </w:r>
      <w:proofErr w:type="gramStart"/>
      <w:r>
        <w:rPr>
          <w:rFonts w:eastAsia="Calibri" w:cs="Arial"/>
          <w:color w:val="000000"/>
          <w:kern w:val="0"/>
          <w:szCs w:val="22"/>
          <w:lang w:eastAsia="en-US"/>
        </w:rPr>
        <w:t>fail</w:t>
      </w:r>
      <w:proofErr w:type="gramEnd"/>
      <w:r>
        <w:rPr>
          <w:rFonts w:eastAsia="Calibri" w:cs="Arial"/>
          <w:color w:val="000000"/>
          <w:kern w:val="0"/>
          <w:szCs w:val="22"/>
          <w:lang w:eastAsia="en-US"/>
        </w:rPr>
        <w:t xml:space="preserve"> to embed preventative bribery measures.  This applies to all commercial organisations which have business in the UK.  Unlike corporate manslaughter this does not only apply to the organisation itself; individuals and employees may also be guilty</w:t>
      </w:r>
      <w:r w:rsidR="004C5F69" w:rsidRPr="00571F67">
        <w:rPr>
          <w:rFonts w:eastAsia="Calibri" w:cs="Arial"/>
          <w:color w:val="000000"/>
          <w:kern w:val="0"/>
          <w:szCs w:val="22"/>
          <w:lang w:val="en" w:eastAsia="en-US"/>
        </w:rPr>
        <w:t>.</w:t>
      </w:r>
    </w:p>
    <w:p w14:paraId="51F61D42" w14:textId="77777777" w:rsidR="004C5F69" w:rsidRPr="004C5F69" w:rsidRDefault="004C5F69" w:rsidP="002B5A68">
      <w:pPr>
        <w:autoSpaceDE w:val="0"/>
        <w:autoSpaceDN w:val="0"/>
        <w:adjustRightInd w:val="0"/>
        <w:spacing w:line="240" w:lineRule="auto"/>
        <w:ind w:left="568"/>
        <w:rPr>
          <w:rFonts w:eastAsia="Calibri" w:cs="Arial"/>
          <w:color w:val="000000"/>
          <w:kern w:val="0"/>
          <w:szCs w:val="22"/>
          <w:lang w:eastAsia="en-US"/>
        </w:rPr>
      </w:pPr>
      <w:r w:rsidRPr="004C5F69">
        <w:rPr>
          <w:rFonts w:eastAsia="Calibri" w:cs="Arial"/>
          <w:color w:val="000000"/>
          <w:kern w:val="0"/>
          <w:szCs w:val="22"/>
          <w:lang w:eastAsia="en-US"/>
        </w:rPr>
        <w:t>These offences can be committed directly or by and through a third person and other related policies and documentation (as detailed on the CCG intranet) when considering whether to offer or accept gifts and hospitality and/or other incentives.</w:t>
      </w:r>
    </w:p>
    <w:p w14:paraId="69CD5D38" w14:textId="77777777" w:rsidR="004C5F69" w:rsidRPr="004C5F69" w:rsidRDefault="004C5F69" w:rsidP="002B5A68">
      <w:pPr>
        <w:autoSpaceDE w:val="0"/>
        <w:autoSpaceDN w:val="0"/>
        <w:adjustRightInd w:val="0"/>
        <w:spacing w:line="240" w:lineRule="auto"/>
        <w:ind w:left="568"/>
        <w:rPr>
          <w:rFonts w:eastAsia="Calibri" w:cs="Arial"/>
          <w:color w:val="000000"/>
          <w:kern w:val="0"/>
          <w:szCs w:val="22"/>
          <w:lang w:eastAsia="en-US"/>
        </w:rPr>
      </w:pPr>
    </w:p>
    <w:p w14:paraId="067E0AEF" w14:textId="77777777" w:rsidR="004C5F69" w:rsidRPr="004C5F69" w:rsidRDefault="004C5F69" w:rsidP="002B5A68">
      <w:pPr>
        <w:autoSpaceDE w:val="0"/>
        <w:autoSpaceDN w:val="0"/>
        <w:adjustRightInd w:val="0"/>
        <w:spacing w:line="240" w:lineRule="auto"/>
        <w:ind w:left="568"/>
        <w:rPr>
          <w:rFonts w:eastAsia="Calibri" w:cs="Arial"/>
          <w:color w:val="000000"/>
          <w:kern w:val="0"/>
          <w:szCs w:val="22"/>
          <w:lang w:eastAsia="en-US"/>
        </w:rPr>
      </w:pPr>
      <w:r w:rsidRPr="004C5F69">
        <w:rPr>
          <w:rFonts w:eastAsia="Calibri" w:cs="Arial"/>
          <w:color w:val="000000"/>
          <w:kern w:val="0"/>
          <w:szCs w:val="22"/>
          <w:lang w:eastAsia="en-US"/>
        </w:rPr>
        <w:t>Anyone with concerns or reasonably held suspicions about potentially fraudulent activity or practice should refer to the Local Anti-Fraud and Corruption Policy and contact the</w:t>
      </w:r>
      <w:r w:rsidR="00571F67">
        <w:rPr>
          <w:rFonts w:eastAsia="Calibri" w:cs="Arial"/>
          <w:color w:val="000000"/>
          <w:kern w:val="0"/>
          <w:szCs w:val="22"/>
          <w:lang w:eastAsia="en-US"/>
        </w:rPr>
        <w:t xml:space="preserve"> Local Counter Fraud Specialist </w:t>
      </w:r>
      <w:hyperlink r:id="rId11" w:history="1">
        <w:r w:rsidRPr="004C5F69">
          <w:rPr>
            <w:rFonts w:eastAsia="Calibri" w:cs="Arial"/>
            <w:color w:val="0000FF"/>
            <w:kern w:val="0"/>
            <w:sz w:val="24"/>
            <w:szCs w:val="22"/>
            <w:u w:val="single"/>
            <w:lang w:eastAsia="en-US"/>
          </w:rPr>
          <w:t>http://www.northeastlincolnshireccg.nhs.uk/countering-fraud-in-the-nhs</w:t>
        </w:r>
      </w:hyperlink>
    </w:p>
    <w:p w14:paraId="2C762148" w14:textId="77777777" w:rsidR="00C379DD" w:rsidRDefault="00C379DD" w:rsidP="00C379DD">
      <w:pPr>
        <w:pStyle w:val="Heading1"/>
      </w:pPr>
      <w:bookmarkStart w:id="7" w:name="_Toc529822890"/>
    </w:p>
    <w:p w14:paraId="4AE7924F" w14:textId="77777777" w:rsidR="00C2457D" w:rsidRDefault="00C2457D" w:rsidP="00C2457D"/>
    <w:p w14:paraId="30E4C1A8" w14:textId="77777777" w:rsidR="00C2457D" w:rsidRDefault="00C2457D" w:rsidP="00C2457D"/>
    <w:p w14:paraId="52E62585" w14:textId="77777777" w:rsidR="00C2457D" w:rsidRDefault="00C2457D" w:rsidP="00C2457D"/>
    <w:p w14:paraId="623A30D6" w14:textId="60A00787" w:rsidR="00C2457D" w:rsidRDefault="00C2457D" w:rsidP="00C2457D"/>
    <w:p w14:paraId="764DB48F" w14:textId="77777777" w:rsidR="00917A91" w:rsidRPr="00C2457D" w:rsidRDefault="00917A91" w:rsidP="00C2457D"/>
    <w:p w14:paraId="6D70738E" w14:textId="77777777" w:rsidR="00C2457D" w:rsidRPr="00C2457D" w:rsidRDefault="00C177DB" w:rsidP="00657963">
      <w:pPr>
        <w:pStyle w:val="Heading1"/>
      </w:pPr>
      <w:bookmarkStart w:id="8" w:name="_Toc26875372"/>
      <w:r>
        <w:rPr>
          <w:lang w:eastAsia="en-US"/>
        </w:rPr>
        <w:lastRenderedPageBreak/>
        <w:t>5</w:t>
      </w:r>
      <w:r w:rsidR="00BC4158">
        <w:rPr>
          <w:lang w:eastAsia="en-US"/>
        </w:rPr>
        <w:t>.</w:t>
      </w:r>
      <w:r w:rsidR="00BC4158">
        <w:rPr>
          <w:lang w:eastAsia="en-US"/>
        </w:rPr>
        <w:tab/>
      </w:r>
      <w:r w:rsidR="004C5F69" w:rsidRPr="00C379DD">
        <w:rPr>
          <w:lang w:eastAsia="en-US"/>
        </w:rPr>
        <w:t>ROLE AND RESPONSIBILITIES</w:t>
      </w:r>
      <w:bookmarkEnd w:id="7"/>
      <w:bookmarkEnd w:id="8"/>
      <w:r w:rsidR="004C5F69" w:rsidRPr="00C379DD">
        <w:t xml:space="preserve"> </w:t>
      </w: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394"/>
      </w:tblGrid>
      <w:tr w:rsidR="00C2457D" w:rsidRPr="00C2457D" w14:paraId="58246E23" w14:textId="77777777" w:rsidTr="00657963">
        <w:tc>
          <w:tcPr>
            <w:tcW w:w="2267" w:type="dxa"/>
            <w:shd w:val="clear" w:color="auto" w:fill="8DB3E2"/>
          </w:tcPr>
          <w:p w14:paraId="0E0E0B6B" w14:textId="77777777" w:rsidR="00C2457D" w:rsidRPr="00C2457D" w:rsidRDefault="00C2457D" w:rsidP="00C2457D">
            <w:pPr>
              <w:spacing w:line="240" w:lineRule="auto"/>
              <w:rPr>
                <w:rFonts w:cs="Arial"/>
                <w:b/>
                <w:bCs/>
                <w:color w:val="FFFFFF"/>
                <w:kern w:val="32"/>
                <w:szCs w:val="22"/>
                <w:lang w:eastAsia="en-US"/>
              </w:rPr>
            </w:pPr>
            <w:r w:rsidRPr="00C2457D">
              <w:rPr>
                <w:rFonts w:cs="Arial"/>
                <w:b/>
                <w:bCs/>
                <w:color w:val="FFFFFF"/>
                <w:kern w:val="32"/>
                <w:szCs w:val="22"/>
                <w:lang w:eastAsia="en-US"/>
              </w:rPr>
              <w:t>Party</w:t>
            </w:r>
          </w:p>
        </w:tc>
        <w:tc>
          <w:tcPr>
            <w:tcW w:w="7587" w:type="dxa"/>
            <w:shd w:val="clear" w:color="auto" w:fill="8DB3E2"/>
          </w:tcPr>
          <w:p w14:paraId="4BD8D306" w14:textId="77777777" w:rsidR="00C2457D" w:rsidRPr="00C2457D" w:rsidRDefault="00C2457D" w:rsidP="00C2457D">
            <w:pPr>
              <w:spacing w:line="240" w:lineRule="auto"/>
              <w:rPr>
                <w:rFonts w:cs="Arial"/>
                <w:b/>
                <w:bCs/>
                <w:color w:val="FFFFFF"/>
                <w:kern w:val="32"/>
                <w:szCs w:val="22"/>
                <w:lang w:eastAsia="en-US"/>
              </w:rPr>
            </w:pPr>
            <w:r w:rsidRPr="00C2457D">
              <w:rPr>
                <w:rFonts w:cs="Arial"/>
                <w:b/>
                <w:bCs/>
                <w:color w:val="FFFFFF"/>
                <w:kern w:val="32"/>
                <w:szCs w:val="22"/>
                <w:lang w:eastAsia="en-US"/>
              </w:rPr>
              <w:t>Key responsibilities</w:t>
            </w:r>
          </w:p>
        </w:tc>
      </w:tr>
      <w:tr w:rsidR="00C2457D" w:rsidRPr="00C2457D" w14:paraId="5B671236" w14:textId="77777777" w:rsidTr="00657963">
        <w:trPr>
          <w:trHeight w:val="2006"/>
        </w:trPr>
        <w:tc>
          <w:tcPr>
            <w:tcW w:w="2267" w:type="dxa"/>
            <w:tcBorders>
              <w:bottom w:val="single" w:sz="4" w:space="0" w:color="auto"/>
            </w:tcBorders>
            <w:shd w:val="clear" w:color="auto" w:fill="auto"/>
          </w:tcPr>
          <w:p w14:paraId="08A21035" w14:textId="77777777" w:rsidR="00C2457D" w:rsidRPr="00C2457D" w:rsidRDefault="00C2457D" w:rsidP="00C2457D">
            <w:pPr>
              <w:spacing w:line="240" w:lineRule="auto"/>
              <w:jc w:val="left"/>
              <w:rPr>
                <w:rFonts w:cs="Arial"/>
              </w:rPr>
            </w:pPr>
          </w:p>
          <w:p w14:paraId="4C546C6A" w14:textId="77777777" w:rsidR="00C2457D" w:rsidRPr="00C2457D" w:rsidRDefault="00C2457D" w:rsidP="00C2457D">
            <w:pPr>
              <w:spacing w:line="240" w:lineRule="auto"/>
              <w:jc w:val="left"/>
              <w:rPr>
                <w:rFonts w:cs="Arial"/>
                <w:bCs/>
                <w:kern w:val="32"/>
                <w:sz w:val="20"/>
                <w:szCs w:val="20"/>
                <w:lang w:eastAsia="en-US"/>
              </w:rPr>
            </w:pPr>
            <w:r w:rsidRPr="00C2457D">
              <w:rPr>
                <w:rFonts w:cs="Arial"/>
                <w:sz w:val="20"/>
                <w:szCs w:val="20"/>
              </w:rPr>
              <w:t>Health &amp; Social Care staff assessment of clients for consideration of eligibility</w:t>
            </w:r>
          </w:p>
          <w:p w14:paraId="5DCFE9F6" w14:textId="77777777" w:rsidR="00C2457D" w:rsidRPr="00C2457D" w:rsidRDefault="00C2457D" w:rsidP="00C2457D">
            <w:pPr>
              <w:suppressAutoHyphens/>
              <w:spacing w:line="240" w:lineRule="auto"/>
              <w:jc w:val="left"/>
              <w:rPr>
                <w:rFonts w:eastAsia="Calibri" w:cs="Arial"/>
                <w:szCs w:val="22"/>
                <w:lang w:eastAsia="en-US"/>
              </w:rPr>
            </w:pPr>
          </w:p>
        </w:tc>
        <w:tc>
          <w:tcPr>
            <w:tcW w:w="7587" w:type="dxa"/>
            <w:tcBorders>
              <w:bottom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7178"/>
            </w:tblGrid>
            <w:tr w:rsidR="00C2457D" w:rsidRPr="00C2457D" w14:paraId="0A120D5E" w14:textId="77777777" w:rsidTr="00C2457D">
              <w:trPr>
                <w:trHeight w:val="1437"/>
              </w:trPr>
              <w:tc>
                <w:tcPr>
                  <w:tcW w:w="0" w:type="auto"/>
                </w:tcPr>
                <w:p w14:paraId="0C4F58D7" w14:textId="77777777" w:rsidR="00C2457D" w:rsidRPr="00C2457D" w:rsidRDefault="00C2457D" w:rsidP="007B7C47">
                  <w:pPr>
                    <w:framePr w:hSpace="180" w:wrap="around" w:vAnchor="text" w:hAnchor="margin" w:y="91"/>
                    <w:numPr>
                      <w:ilvl w:val="0"/>
                      <w:numId w:val="13"/>
                    </w:numPr>
                    <w:suppressAutoHyphens/>
                    <w:spacing w:line="240" w:lineRule="auto"/>
                    <w:ind w:left="284" w:hanging="284"/>
                    <w:jc w:val="left"/>
                    <w:rPr>
                      <w:rFonts w:ascii="Calibri" w:eastAsia="Calibri" w:hAnsi="Calibri" w:cs="Arial"/>
                      <w:szCs w:val="22"/>
                      <w:lang w:eastAsia="en-US"/>
                    </w:rPr>
                  </w:pPr>
                  <w:r w:rsidRPr="00C2457D">
                    <w:rPr>
                      <w:rFonts w:ascii="Calibri" w:eastAsia="Calibri" w:hAnsi="Calibri" w:cs="Arial"/>
                      <w:szCs w:val="22"/>
                      <w:lang w:eastAsia="en-US"/>
                    </w:rPr>
                    <w:t xml:space="preserve">Ensure consent is obtained prior to completing the CHC Checklist. If individual is unable to </w:t>
                  </w:r>
                  <w:proofErr w:type="gramStart"/>
                  <w:r w:rsidRPr="00C2457D">
                    <w:rPr>
                      <w:rFonts w:ascii="Calibri" w:eastAsia="Calibri" w:hAnsi="Calibri" w:cs="Arial"/>
                      <w:szCs w:val="22"/>
                      <w:lang w:eastAsia="en-US"/>
                    </w:rPr>
                    <w:t>consent</w:t>
                  </w:r>
                  <w:proofErr w:type="gramEnd"/>
                  <w:r w:rsidRPr="00C2457D">
                    <w:rPr>
                      <w:rFonts w:ascii="Calibri" w:eastAsia="Calibri" w:hAnsi="Calibri" w:cs="Arial"/>
                      <w:szCs w:val="22"/>
                      <w:lang w:eastAsia="en-US"/>
                    </w:rPr>
                    <w:t xml:space="preserve"> follow the Mental capacity Act (2005). </w:t>
                  </w:r>
                </w:p>
                <w:p w14:paraId="5B0FD4BE" w14:textId="77777777" w:rsidR="00C2457D" w:rsidRPr="00C2457D" w:rsidRDefault="00C2457D" w:rsidP="007B7C47">
                  <w:pPr>
                    <w:framePr w:hSpace="180" w:wrap="around" w:vAnchor="text" w:hAnchor="margin" w:y="91"/>
                    <w:numPr>
                      <w:ilvl w:val="0"/>
                      <w:numId w:val="13"/>
                    </w:numPr>
                    <w:suppressAutoHyphens/>
                    <w:spacing w:line="240" w:lineRule="auto"/>
                    <w:ind w:left="284" w:hanging="284"/>
                    <w:jc w:val="left"/>
                    <w:rPr>
                      <w:rFonts w:ascii="Calibri" w:eastAsia="Calibri" w:hAnsi="Calibri" w:cs="Arial"/>
                      <w:szCs w:val="22"/>
                      <w:lang w:eastAsia="en-US"/>
                    </w:rPr>
                  </w:pPr>
                  <w:r w:rsidRPr="00C2457D">
                    <w:rPr>
                      <w:rFonts w:ascii="Calibri" w:eastAsia="Calibri" w:hAnsi="Calibri" w:cs="Arial"/>
                      <w:szCs w:val="22"/>
                      <w:lang w:eastAsia="en-US"/>
                    </w:rPr>
                    <w:t xml:space="preserve">Complete the required documentation, Checklist and co-operate in completing the DST within 28 days of completing the Checklist </w:t>
                  </w:r>
                </w:p>
                <w:p w14:paraId="09617669" w14:textId="77777777" w:rsidR="00C2457D" w:rsidRPr="00C2457D" w:rsidRDefault="00C2457D" w:rsidP="007B7C47">
                  <w:pPr>
                    <w:framePr w:hSpace="180" w:wrap="around" w:vAnchor="text" w:hAnchor="margin" w:y="91"/>
                    <w:numPr>
                      <w:ilvl w:val="0"/>
                      <w:numId w:val="13"/>
                    </w:numPr>
                    <w:suppressAutoHyphens/>
                    <w:spacing w:line="240" w:lineRule="auto"/>
                    <w:ind w:left="284" w:hanging="284"/>
                    <w:jc w:val="left"/>
                    <w:rPr>
                      <w:rFonts w:ascii="Calibri" w:eastAsia="Calibri" w:hAnsi="Calibri" w:cs="Arial"/>
                      <w:szCs w:val="22"/>
                      <w:lang w:eastAsia="en-US"/>
                    </w:rPr>
                  </w:pPr>
                  <w:r w:rsidRPr="00C2457D">
                    <w:rPr>
                      <w:rFonts w:ascii="Calibri" w:eastAsia="Calibri" w:hAnsi="Calibri" w:cs="Arial"/>
                      <w:szCs w:val="22"/>
                      <w:lang w:eastAsia="en-US"/>
                    </w:rPr>
                    <w:t xml:space="preserve">Ensure that the Fast Track application is fully completed and forwarded to NHS NEL CHC Hub for authorisation </w:t>
                  </w:r>
                </w:p>
                <w:p w14:paraId="7B085782" w14:textId="77777777" w:rsidR="00C2457D" w:rsidRPr="00C2457D" w:rsidRDefault="00C2457D" w:rsidP="007B7C47">
                  <w:pPr>
                    <w:framePr w:hSpace="180" w:wrap="around" w:vAnchor="text" w:hAnchor="margin" w:y="91"/>
                    <w:numPr>
                      <w:ilvl w:val="0"/>
                      <w:numId w:val="13"/>
                    </w:numPr>
                    <w:suppressAutoHyphens/>
                    <w:spacing w:line="240" w:lineRule="auto"/>
                    <w:ind w:left="284" w:hanging="284"/>
                    <w:jc w:val="left"/>
                    <w:rPr>
                      <w:rFonts w:ascii="Calibri" w:eastAsia="Calibri" w:hAnsi="Calibri" w:cs="Arial"/>
                      <w:szCs w:val="22"/>
                      <w:lang w:eastAsia="en-US"/>
                    </w:rPr>
                  </w:pPr>
                  <w:r w:rsidRPr="00C2457D">
                    <w:rPr>
                      <w:rFonts w:ascii="Calibri" w:eastAsia="Calibri" w:hAnsi="Calibri" w:cs="Arial"/>
                      <w:szCs w:val="22"/>
                      <w:lang w:eastAsia="en-US"/>
                    </w:rPr>
                    <w:t xml:space="preserve">Forward the relevant documentation </w:t>
                  </w:r>
                  <w:proofErr w:type="gramStart"/>
                  <w:r w:rsidRPr="00C2457D">
                    <w:rPr>
                      <w:rFonts w:ascii="Calibri" w:eastAsia="Calibri" w:hAnsi="Calibri" w:cs="Arial"/>
                      <w:szCs w:val="22"/>
                      <w:lang w:eastAsia="en-US"/>
                    </w:rPr>
                    <w:t xml:space="preserve">to </w:t>
                  </w:r>
                  <w:r w:rsidRPr="00C2457D">
                    <w:rPr>
                      <w:rFonts w:ascii="Calibri" w:eastAsia="Calibri" w:hAnsi="Calibri" w:cs="font302"/>
                      <w:szCs w:val="22"/>
                      <w:lang w:eastAsia="en-US"/>
                    </w:rPr>
                    <w:t xml:space="preserve"> </w:t>
                  </w:r>
                  <w:r w:rsidRPr="00C2457D">
                    <w:rPr>
                      <w:rFonts w:ascii="Calibri" w:eastAsia="Calibri" w:hAnsi="Calibri" w:cs="Arial"/>
                      <w:szCs w:val="22"/>
                      <w:lang w:eastAsia="en-US"/>
                    </w:rPr>
                    <w:t>NHS</w:t>
                  </w:r>
                  <w:proofErr w:type="gramEnd"/>
                  <w:r w:rsidRPr="00C2457D">
                    <w:rPr>
                      <w:rFonts w:ascii="Calibri" w:eastAsia="Calibri" w:hAnsi="Calibri" w:cs="Arial"/>
                      <w:szCs w:val="22"/>
                      <w:lang w:eastAsia="en-US"/>
                    </w:rPr>
                    <w:t xml:space="preserve"> NEL CHC Hub for FNC contributions and responsibility, when placing an individual within a nursing home in North East Lincolnshire for authorisation prior to placement</w:t>
                  </w:r>
                </w:p>
              </w:tc>
            </w:tr>
          </w:tbl>
          <w:p w14:paraId="71977B6E" w14:textId="77777777" w:rsidR="00C2457D" w:rsidRPr="00C2457D" w:rsidRDefault="00C2457D" w:rsidP="00C2457D">
            <w:pPr>
              <w:suppressAutoHyphens/>
              <w:spacing w:line="240" w:lineRule="auto"/>
              <w:jc w:val="left"/>
              <w:rPr>
                <w:rFonts w:eastAsia="Calibri" w:cs="Arial"/>
                <w:szCs w:val="22"/>
                <w:lang w:eastAsia="en-US"/>
              </w:rPr>
            </w:pPr>
          </w:p>
        </w:tc>
      </w:tr>
      <w:tr w:rsidR="00C2457D" w:rsidRPr="00C2457D" w14:paraId="56D063AE" w14:textId="77777777" w:rsidTr="00657963">
        <w:tc>
          <w:tcPr>
            <w:tcW w:w="2267" w:type="dxa"/>
            <w:tcBorders>
              <w:left w:val="nil"/>
              <w:right w:val="nil"/>
            </w:tcBorders>
            <w:shd w:val="clear" w:color="auto" w:fill="auto"/>
          </w:tcPr>
          <w:p w14:paraId="1C328726" w14:textId="77777777" w:rsidR="00C2457D" w:rsidRPr="00C2457D" w:rsidRDefault="00C2457D" w:rsidP="00C2457D">
            <w:pPr>
              <w:spacing w:line="240" w:lineRule="auto"/>
              <w:rPr>
                <w:rFonts w:cs="Arial"/>
                <w:b/>
                <w:bCs/>
                <w:kern w:val="32"/>
                <w:szCs w:val="22"/>
                <w:lang w:eastAsia="en-US"/>
              </w:rPr>
            </w:pPr>
          </w:p>
        </w:tc>
        <w:tc>
          <w:tcPr>
            <w:tcW w:w="7587" w:type="dxa"/>
            <w:tcBorders>
              <w:left w:val="nil"/>
              <w:right w:val="nil"/>
            </w:tcBorders>
            <w:shd w:val="clear" w:color="auto" w:fill="auto"/>
          </w:tcPr>
          <w:p w14:paraId="59777500" w14:textId="77777777" w:rsidR="00C2457D" w:rsidRPr="00C2457D" w:rsidRDefault="00C2457D" w:rsidP="00C2457D">
            <w:pPr>
              <w:suppressAutoHyphens/>
              <w:spacing w:line="240" w:lineRule="auto"/>
              <w:jc w:val="left"/>
              <w:rPr>
                <w:rFonts w:eastAsia="Calibri" w:cs="Arial"/>
                <w:szCs w:val="22"/>
                <w:lang w:eastAsia="en-US"/>
              </w:rPr>
            </w:pPr>
          </w:p>
        </w:tc>
      </w:tr>
      <w:tr w:rsidR="00C2457D" w:rsidRPr="00C2457D" w14:paraId="4798F1BA" w14:textId="77777777" w:rsidTr="00657963">
        <w:tc>
          <w:tcPr>
            <w:tcW w:w="2267" w:type="dxa"/>
            <w:shd w:val="clear" w:color="auto" w:fill="8DB3E2"/>
          </w:tcPr>
          <w:p w14:paraId="138CEC85" w14:textId="77777777" w:rsidR="00C2457D" w:rsidRPr="00C2457D" w:rsidRDefault="00C2457D" w:rsidP="00C2457D">
            <w:pPr>
              <w:spacing w:line="240" w:lineRule="auto"/>
              <w:rPr>
                <w:rFonts w:cs="Arial"/>
                <w:b/>
                <w:bCs/>
                <w:color w:val="FFFFFF"/>
                <w:kern w:val="32"/>
                <w:szCs w:val="22"/>
                <w:lang w:eastAsia="en-US"/>
              </w:rPr>
            </w:pPr>
            <w:r w:rsidRPr="00C2457D">
              <w:rPr>
                <w:rFonts w:cs="Arial"/>
                <w:b/>
                <w:bCs/>
                <w:color w:val="FFFFFF"/>
                <w:kern w:val="32"/>
                <w:szCs w:val="22"/>
                <w:lang w:eastAsia="en-US"/>
              </w:rPr>
              <w:t>Party</w:t>
            </w:r>
          </w:p>
        </w:tc>
        <w:tc>
          <w:tcPr>
            <w:tcW w:w="7587" w:type="dxa"/>
            <w:shd w:val="clear" w:color="auto" w:fill="8DB3E2"/>
          </w:tcPr>
          <w:p w14:paraId="205A69C8" w14:textId="77777777" w:rsidR="00C2457D" w:rsidRPr="00C2457D" w:rsidRDefault="00C2457D" w:rsidP="00C2457D">
            <w:pPr>
              <w:spacing w:line="240" w:lineRule="auto"/>
              <w:rPr>
                <w:rFonts w:cs="Arial"/>
                <w:b/>
                <w:bCs/>
                <w:color w:val="FFFFFF"/>
                <w:kern w:val="32"/>
                <w:szCs w:val="22"/>
                <w:lang w:eastAsia="en-US"/>
              </w:rPr>
            </w:pPr>
            <w:r w:rsidRPr="00C2457D">
              <w:rPr>
                <w:rFonts w:cs="Arial"/>
                <w:b/>
                <w:bCs/>
                <w:color w:val="FFFFFF"/>
                <w:kern w:val="32"/>
                <w:szCs w:val="22"/>
                <w:lang w:eastAsia="en-US"/>
              </w:rPr>
              <w:t>Key responsibilities</w:t>
            </w:r>
          </w:p>
        </w:tc>
      </w:tr>
      <w:tr w:rsidR="00C2457D" w:rsidRPr="00C2457D" w14:paraId="7F714B06" w14:textId="77777777" w:rsidTr="00657963">
        <w:tc>
          <w:tcPr>
            <w:tcW w:w="2267" w:type="dxa"/>
            <w:tcBorders>
              <w:bottom w:val="single" w:sz="4" w:space="0" w:color="auto"/>
            </w:tcBorders>
            <w:shd w:val="clear" w:color="auto" w:fill="auto"/>
          </w:tcPr>
          <w:p w14:paraId="517E3EC4" w14:textId="77777777" w:rsidR="00C2457D" w:rsidRPr="00C2457D" w:rsidRDefault="00C2457D" w:rsidP="00C2457D">
            <w:pPr>
              <w:spacing w:line="240" w:lineRule="auto"/>
              <w:rPr>
                <w:rFonts w:cs="Arial"/>
                <w:bCs/>
                <w:kern w:val="32"/>
                <w:sz w:val="20"/>
                <w:szCs w:val="20"/>
                <w:lang w:eastAsia="en-US"/>
              </w:rPr>
            </w:pPr>
          </w:p>
          <w:p w14:paraId="733AC901" w14:textId="77777777" w:rsidR="00C2457D" w:rsidRPr="00C2457D" w:rsidRDefault="00C2457D" w:rsidP="00C2457D">
            <w:pPr>
              <w:spacing w:line="240" w:lineRule="auto"/>
              <w:rPr>
                <w:rFonts w:cs="Arial"/>
                <w:b/>
                <w:bCs/>
                <w:kern w:val="32"/>
                <w:szCs w:val="22"/>
                <w:lang w:eastAsia="en-US"/>
              </w:rPr>
            </w:pPr>
            <w:r w:rsidRPr="00C2457D">
              <w:rPr>
                <w:rFonts w:cs="Arial"/>
                <w:bCs/>
                <w:kern w:val="32"/>
                <w:sz w:val="20"/>
                <w:szCs w:val="20"/>
                <w:lang w:eastAsia="en-US"/>
              </w:rPr>
              <w:t>NEL CCG Continuing Healthcare</w:t>
            </w:r>
            <w:r w:rsidRPr="00C2457D">
              <w:rPr>
                <w:rFonts w:cs="Arial"/>
                <w:b/>
                <w:bCs/>
                <w:kern w:val="32"/>
                <w:szCs w:val="22"/>
                <w:lang w:eastAsia="en-US"/>
              </w:rPr>
              <w:t xml:space="preserve"> </w:t>
            </w:r>
            <w:r w:rsidRPr="00C2457D">
              <w:rPr>
                <w:rFonts w:cs="Arial"/>
                <w:sz w:val="20"/>
                <w:szCs w:val="20"/>
              </w:rPr>
              <w:t>Team</w:t>
            </w:r>
          </w:p>
        </w:tc>
        <w:tc>
          <w:tcPr>
            <w:tcW w:w="7587" w:type="dxa"/>
            <w:tcBorders>
              <w:bottom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7178"/>
            </w:tblGrid>
            <w:tr w:rsidR="00C2457D" w:rsidRPr="00C2457D" w14:paraId="409030A5" w14:textId="77777777" w:rsidTr="00C2457D">
              <w:trPr>
                <w:trHeight w:val="1731"/>
              </w:trPr>
              <w:tc>
                <w:tcPr>
                  <w:tcW w:w="0" w:type="auto"/>
                  <w:tcBorders>
                    <w:top w:val="nil"/>
                    <w:left w:val="nil"/>
                    <w:bottom w:val="nil"/>
                    <w:right w:val="nil"/>
                  </w:tcBorders>
                </w:tcPr>
                <w:p w14:paraId="313E2978" w14:textId="77777777" w:rsidR="00C2457D" w:rsidRPr="00C2457D" w:rsidRDefault="00C2457D" w:rsidP="007B7C47">
                  <w:pPr>
                    <w:framePr w:hSpace="180" w:wrap="around" w:vAnchor="text" w:hAnchor="margin" w:y="91"/>
                    <w:numPr>
                      <w:ilvl w:val="0"/>
                      <w:numId w:val="13"/>
                    </w:numPr>
                    <w:suppressAutoHyphens/>
                    <w:spacing w:line="240" w:lineRule="auto"/>
                    <w:ind w:left="284" w:hanging="284"/>
                    <w:jc w:val="left"/>
                    <w:rPr>
                      <w:rFonts w:ascii="Calibri" w:eastAsia="Calibri" w:hAnsi="Calibri" w:cs="Arial"/>
                      <w:szCs w:val="22"/>
                      <w:lang w:eastAsia="en-US"/>
                    </w:rPr>
                  </w:pPr>
                  <w:r w:rsidRPr="00C2457D">
                    <w:rPr>
                      <w:rFonts w:ascii="Calibri" w:eastAsia="Calibri" w:hAnsi="Calibri" w:cs="Arial"/>
                      <w:szCs w:val="22"/>
                      <w:lang w:eastAsia="en-US"/>
                    </w:rPr>
                    <w:t xml:space="preserve">Receive Fast Track Tools to ensure the standards required are met and that they indicate eligibility for receipt of service </w:t>
                  </w:r>
                </w:p>
                <w:p w14:paraId="38C9AF0B" w14:textId="77777777" w:rsidR="00C2457D" w:rsidRPr="00C2457D" w:rsidRDefault="00C2457D" w:rsidP="007B7C47">
                  <w:pPr>
                    <w:framePr w:hSpace="180" w:wrap="around" w:vAnchor="text" w:hAnchor="margin" w:y="91"/>
                    <w:numPr>
                      <w:ilvl w:val="0"/>
                      <w:numId w:val="13"/>
                    </w:numPr>
                    <w:suppressAutoHyphens/>
                    <w:spacing w:line="240" w:lineRule="auto"/>
                    <w:ind w:left="284" w:hanging="284"/>
                    <w:jc w:val="left"/>
                    <w:rPr>
                      <w:rFonts w:ascii="Calibri" w:eastAsia="Calibri" w:hAnsi="Calibri" w:cs="Arial"/>
                      <w:szCs w:val="22"/>
                      <w:lang w:eastAsia="en-US"/>
                    </w:rPr>
                  </w:pPr>
                  <w:r w:rsidRPr="00C2457D">
                    <w:rPr>
                      <w:rFonts w:ascii="Calibri" w:eastAsia="Calibri" w:hAnsi="Calibri" w:cs="Arial"/>
                      <w:szCs w:val="22"/>
                      <w:lang w:eastAsia="en-US"/>
                    </w:rPr>
                    <w:t xml:space="preserve">Maintain the continuing healthcare data base ensuring all referrals are recorded and that all correspondence is kept for each individual patient </w:t>
                  </w:r>
                </w:p>
                <w:p w14:paraId="2C4D19A8" w14:textId="77777777" w:rsidR="00C2457D" w:rsidRPr="00C2457D" w:rsidRDefault="00C2457D" w:rsidP="007B7C47">
                  <w:pPr>
                    <w:framePr w:hSpace="180" w:wrap="around" w:vAnchor="text" w:hAnchor="margin" w:y="91"/>
                    <w:numPr>
                      <w:ilvl w:val="0"/>
                      <w:numId w:val="13"/>
                    </w:numPr>
                    <w:suppressAutoHyphens/>
                    <w:spacing w:line="240" w:lineRule="auto"/>
                    <w:ind w:left="284" w:hanging="284"/>
                    <w:jc w:val="left"/>
                    <w:rPr>
                      <w:rFonts w:ascii="Calibri" w:eastAsia="Calibri" w:hAnsi="Calibri" w:cs="Arial"/>
                      <w:szCs w:val="22"/>
                      <w:lang w:eastAsia="en-US"/>
                    </w:rPr>
                  </w:pPr>
                  <w:r w:rsidRPr="00C2457D">
                    <w:rPr>
                      <w:rFonts w:ascii="Calibri" w:eastAsia="Calibri" w:hAnsi="Calibri" w:cs="Arial"/>
                      <w:szCs w:val="22"/>
                      <w:lang w:eastAsia="en-US"/>
                    </w:rPr>
                    <w:t xml:space="preserve">Appoint a Clinical Commissioning Manager (CCM) to oversee, facilitate the assessment process </w:t>
                  </w:r>
                </w:p>
                <w:p w14:paraId="24DE01A6" w14:textId="77777777" w:rsidR="00C2457D" w:rsidRPr="00C2457D" w:rsidRDefault="00C2457D" w:rsidP="007B7C47">
                  <w:pPr>
                    <w:framePr w:hSpace="180" w:wrap="around" w:vAnchor="text" w:hAnchor="margin" w:y="91"/>
                    <w:numPr>
                      <w:ilvl w:val="0"/>
                      <w:numId w:val="13"/>
                    </w:numPr>
                    <w:suppressAutoHyphens/>
                    <w:spacing w:line="240" w:lineRule="auto"/>
                    <w:ind w:left="284" w:hanging="284"/>
                    <w:jc w:val="left"/>
                    <w:rPr>
                      <w:rFonts w:ascii="Calibri" w:eastAsia="Calibri" w:hAnsi="Calibri" w:cs="Arial"/>
                      <w:szCs w:val="22"/>
                      <w:lang w:eastAsia="en-US"/>
                    </w:rPr>
                  </w:pPr>
                  <w:r w:rsidRPr="00C2457D">
                    <w:rPr>
                      <w:rFonts w:ascii="Calibri" w:eastAsia="Calibri" w:hAnsi="Calibri" w:cs="Arial"/>
                      <w:szCs w:val="22"/>
                      <w:lang w:eastAsia="en-US"/>
                    </w:rPr>
                    <w:t xml:space="preserve">Review completed DST to ensure it is completed fully, in accordance with the National Framework, supported by robust clinical evidence and in an appropriate manner and that it has a clearly stated recommendation from the Multi-disciplinary Team who have completed it seeking further clarification as necessary </w:t>
                  </w:r>
                </w:p>
                <w:p w14:paraId="73F1F8F2" w14:textId="77777777" w:rsidR="00C2457D" w:rsidRPr="00C2457D" w:rsidRDefault="00C2457D" w:rsidP="007B7C47">
                  <w:pPr>
                    <w:framePr w:hSpace="180" w:wrap="around" w:vAnchor="text" w:hAnchor="margin" w:y="91"/>
                    <w:numPr>
                      <w:ilvl w:val="0"/>
                      <w:numId w:val="13"/>
                    </w:numPr>
                    <w:suppressAutoHyphens/>
                    <w:spacing w:line="240" w:lineRule="auto"/>
                    <w:ind w:left="284" w:hanging="284"/>
                    <w:jc w:val="left"/>
                    <w:rPr>
                      <w:rFonts w:ascii="Calibri" w:eastAsia="Calibri" w:hAnsi="Calibri" w:cs="Arial"/>
                      <w:szCs w:val="22"/>
                      <w:lang w:eastAsia="en-US"/>
                    </w:rPr>
                  </w:pPr>
                  <w:r w:rsidRPr="00C2457D">
                    <w:rPr>
                      <w:rFonts w:ascii="Calibri" w:eastAsia="Calibri" w:hAnsi="Calibri" w:cs="Arial"/>
                      <w:szCs w:val="22"/>
                      <w:lang w:eastAsia="en-US"/>
                    </w:rPr>
                    <w:t xml:space="preserve">Ensure appropriate health professionals including a social care practitioner </w:t>
                  </w:r>
                  <w:proofErr w:type="gramStart"/>
                  <w:r w:rsidRPr="00C2457D">
                    <w:rPr>
                      <w:rFonts w:ascii="Calibri" w:eastAsia="Calibri" w:hAnsi="Calibri" w:cs="Arial"/>
                      <w:szCs w:val="22"/>
                      <w:lang w:eastAsia="en-US"/>
                    </w:rPr>
                    <w:t>are in attendance at</w:t>
                  </w:r>
                  <w:proofErr w:type="gramEnd"/>
                  <w:r w:rsidRPr="00C2457D">
                    <w:rPr>
                      <w:rFonts w:ascii="Calibri" w:eastAsia="Calibri" w:hAnsi="Calibri" w:cs="Arial"/>
                      <w:szCs w:val="22"/>
                      <w:lang w:eastAsia="en-US"/>
                    </w:rPr>
                    <w:t xml:space="preserve"> the MDT/DST process. If a social care practitioner is not available to take part this must be recorded in the patient’s notes</w:t>
                  </w:r>
                </w:p>
                <w:p w14:paraId="24E84C3C" w14:textId="77777777" w:rsidR="00C2457D" w:rsidRPr="00C2457D" w:rsidRDefault="00C2457D" w:rsidP="007B7C47">
                  <w:pPr>
                    <w:framePr w:hSpace="180" w:wrap="around" w:vAnchor="text" w:hAnchor="margin" w:y="91"/>
                    <w:numPr>
                      <w:ilvl w:val="0"/>
                      <w:numId w:val="13"/>
                    </w:numPr>
                    <w:suppressAutoHyphens/>
                    <w:spacing w:line="240" w:lineRule="auto"/>
                    <w:ind w:left="284" w:hanging="284"/>
                    <w:jc w:val="left"/>
                    <w:rPr>
                      <w:rFonts w:ascii="Calibri" w:eastAsia="Calibri" w:hAnsi="Calibri" w:cs="Arial"/>
                      <w:szCs w:val="22"/>
                      <w:lang w:eastAsia="en-US"/>
                    </w:rPr>
                  </w:pPr>
                  <w:r w:rsidRPr="00C2457D">
                    <w:rPr>
                      <w:rFonts w:ascii="Calibri" w:eastAsia="Calibri" w:hAnsi="Calibri" w:cs="Arial"/>
                      <w:szCs w:val="22"/>
                      <w:lang w:eastAsia="en-US"/>
                    </w:rPr>
                    <w:t>Verification of Consent, Checklists, Fast Tracks</w:t>
                  </w:r>
                </w:p>
                <w:p w14:paraId="7EC1580F" w14:textId="77777777" w:rsidR="00C2457D" w:rsidRPr="00C2457D" w:rsidRDefault="00C2457D" w:rsidP="007B7C47">
                  <w:pPr>
                    <w:framePr w:hSpace="180" w:wrap="around" w:vAnchor="text" w:hAnchor="margin" w:y="91"/>
                    <w:numPr>
                      <w:ilvl w:val="0"/>
                      <w:numId w:val="13"/>
                    </w:numPr>
                    <w:suppressAutoHyphens/>
                    <w:spacing w:line="240" w:lineRule="auto"/>
                    <w:ind w:left="284" w:hanging="284"/>
                    <w:jc w:val="left"/>
                    <w:rPr>
                      <w:rFonts w:ascii="Calibri" w:eastAsia="Calibri" w:hAnsi="Calibri" w:cs="Arial"/>
                      <w:szCs w:val="22"/>
                      <w:lang w:eastAsia="en-US"/>
                    </w:rPr>
                  </w:pPr>
                  <w:r w:rsidRPr="00C2457D">
                    <w:rPr>
                      <w:rFonts w:ascii="Calibri" w:eastAsia="Calibri" w:hAnsi="Calibri" w:cs="Arial"/>
                      <w:szCs w:val="22"/>
                      <w:lang w:eastAsia="en-US"/>
                    </w:rPr>
                    <w:t>Arrange for the DST to be presented to the Continuing Healthcare (CHC) Panel along with any supporting information</w:t>
                  </w:r>
                </w:p>
                <w:p w14:paraId="5A5C357A" w14:textId="77777777" w:rsidR="00C2457D" w:rsidRPr="00C2457D" w:rsidRDefault="00C2457D" w:rsidP="007B7C47">
                  <w:pPr>
                    <w:framePr w:hSpace="180" w:wrap="around" w:vAnchor="text" w:hAnchor="margin" w:y="91"/>
                    <w:numPr>
                      <w:ilvl w:val="0"/>
                      <w:numId w:val="13"/>
                    </w:numPr>
                    <w:suppressAutoHyphens/>
                    <w:spacing w:line="240" w:lineRule="auto"/>
                    <w:ind w:left="284" w:hanging="284"/>
                    <w:jc w:val="left"/>
                    <w:rPr>
                      <w:rFonts w:ascii="Calibri" w:eastAsia="Calibri" w:hAnsi="Calibri" w:cs="Arial"/>
                      <w:szCs w:val="22"/>
                      <w:lang w:eastAsia="en-US"/>
                    </w:rPr>
                  </w:pPr>
                  <w:r w:rsidRPr="00C2457D">
                    <w:rPr>
                      <w:rFonts w:ascii="Calibri" w:eastAsia="Calibri" w:hAnsi="Calibri" w:cs="Arial"/>
                      <w:szCs w:val="22"/>
                      <w:lang w:eastAsia="en-US"/>
                    </w:rPr>
                    <w:t>Write to the patient or their representative with the outcome and how to appeal</w:t>
                  </w:r>
                </w:p>
                <w:p w14:paraId="1E7C773E" w14:textId="77777777" w:rsidR="00C2457D" w:rsidRPr="00C2457D" w:rsidRDefault="00C2457D" w:rsidP="007B7C47">
                  <w:pPr>
                    <w:framePr w:hSpace="180" w:wrap="around" w:vAnchor="text" w:hAnchor="margin" w:y="91"/>
                    <w:numPr>
                      <w:ilvl w:val="0"/>
                      <w:numId w:val="13"/>
                    </w:numPr>
                    <w:suppressAutoHyphens/>
                    <w:spacing w:line="240" w:lineRule="auto"/>
                    <w:ind w:left="284" w:hanging="284"/>
                    <w:jc w:val="left"/>
                    <w:rPr>
                      <w:rFonts w:ascii="Calibri" w:eastAsia="Calibri" w:hAnsi="Calibri" w:cs="Arial"/>
                      <w:szCs w:val="22"/>
                      <w:lang w:eastAsia="en-US"/>
                    </w:rPr>
                  </w:pPr>
                  <w:r w:rsidRPr="00C2457D">
                    <w:rPr>
                      <w:rFonts w:ascii="Calibri" w:eastAsia="Calibri" w:hAnsi="Calibri" w:cs="Arial"/>
                      <w:szCs w:val="22"/>
                      <w:lang w:eastAsia="en-US"/>
                    </w:rPr>
                    <w:t xml:space="preserve">If verification of eligibility is given by the panel for 100% continuing healthcare, arrange the package of care based on the needs of the individual and provide </w:t>
                  </w:r>
                  <w:proofErr w:type="gramStart"/>
                  <w:r w:rsidRPr="00C2457D">
                    <w:rPr>
                      <w:rFonts w:ascii="Calibri" w:eastAsia="Calibri" w:hAnsi="Calibri" w:cs="Arial"/>
                      <w:szCs w:val="22"/>
                      <w:lang w:eastAsia="en-US"/>
                    </w:rPr>
                    <w:t>costing’s</w:t>
                  </w:r>
                  <w:proofErr w:type="gramEnd"/>
                  <w:r w:rsidRPr="00C2457D">
                    <w:rPr>
                      <w:rFonts w:ascii="Calibri" w:eastAsia="Calibri" w:hAnsi="Calibri" w:cs="Arial"/>
                      <w:szCs w:val="22"/>
                      <w:lang w:eastAsia="en-US"/>
                    </w:rPr>
                    <w:t xml:space="preserve"> of the package of care for approval</w:t>
                  </w:r>
                </w:p>
                <w:p w14:paraId="27F74AE9" w14:textId="77777777" w:rsidR="00C2457D" w:rsidRPr="00C2457D" w:rsidRDefault="00C2457D" w:rsidP="007B7C47">
                  <w:pPr>
                    <w:framePr w:hSpace="180" w:wrap="around" w:vAnchor="text" w:hAnchor="margin" w:y="91"/>
                    <w:numPr>
                      <w:ilvl w:val="0"/>
                      <w:numId w:val="13"/>
                    </w:numPr>
                    <w:suppressAutoHyphens/>
                    <w:spacing w:line="240" w:lineRule="auto"/>
                    <w:ind w:left="284" w:hanging="284"/>
                    <w:jc w:val="left"/>
                    <w:rPr>
                      <w:rFonts w:ascii="Calibri" w:eastAsia="Calibri" w:hAnsi="Calibri" w:cs="Arial"/>
                      <w:szCs w:val="22"/>
                      <w:lang w:eastAsia="en-US"/>
                    </w:rPr>
                  </w:pPr>
                  <w:r w:rsidRPr="00C2457D">
                    <w:rPr>
                      <w:rFonts w:ascii="Calibri" w:eastAsia="Calibri" w:hAnsi="Calibri" w:cs="Arial"/>
                      <w:szCs w:val="22"/>
                      <w:lang w:eastAsia="en-US"/>
                    </w:rPr>
                    <w:t>If the individual is not eligible for NHS CHC but is entitled to NHS FNC arrange for the payments to be made to the care home in a timely manner</w:t>
                  </w:r>
                </w:p>
                <w:p w14:paraId="550187C3" w14:textId="77777777" w:rsidR="00C2457D" w:rsidRPr="00C2457D" w:rsidRDefault="00C2457D" w:rsidP="007B7C47">
                  <w:pPr>
                    <w:framePr w:hSpace="180" w:wrap="around" w:vAnchor="text" w:hAnchor="margin" w:y="91"/>
                    <w:numPr>
                      <w:ilvl w:val="0"/>
                      <w:numId w:val="13"/>
                    </w:numPr>
                    <w:suppressAutoHyphens/>
                    <w:spacing w:line="240" w:lineRule="auto"/>
                    <w:ind w:left="284" w:hanging="284"/>
                    <w:jc w:val="left"/>
                    <w:rPr>
                      <w:rFonts w:ascii="Calibri" w:eastAsia="Calibri" w:hAnsi="Calibri" w:cs="Arial"/>
                      <w:szCs w:val="22"/>
                      <w:lang w:eastAsia="en-US"/>
                    </w:rPr>
                  </w:pPr>
                  <w:r w:rsidRPr="00C2457D">
                    <w:rPr>
                      <w:rFonts w:ascii="Calibri" w:eastAsia="Calibri" w:hAnsi="Calibri" w:cs="Arial"/>
                      <w:szCs w:val="22"/>
                      <w:lang w:eastAsia="en-US"/>
                    </w:rPr>
                    <w:t>Record all panel decisions in individual’s case records (panel minutes) and ensure all communication of panel decisions is undertaken in a timely and professional manner</w:t>
                  </w:r>
                </w:p>
                <w:p w14:paraId="36C229BE" w14:textId="77777777" w:rsidR="00C2457D" w:rsidRPr="00C2457D" w:rsidRDefault="00C2457D" w:rsidP="007B7C47">
                  <w:pPr>
                    <w:framePr w:hSpace="180" w:wrap="around" w:vAnchor="text" w:hAnchor="margin" w:y="91"/>
                    <w:numPr>
                      <w:ilvl w:val="0"/>
                      <w:numId w:val="13"/>
                    </w:numPr>
                    <w:suppressAutoHyphens/>
                    <w:spacing w:line="240" w:lineRule="auto"/>
                    <w:ind w:left="284" w:hanging="284"/>
                    <w:jc w:val="left"/>
                    <w:rPr>
                      <w:rFonts w:ascii="Calibri" w:eastAsia="Calibri" w:hAnsi="Calibri" w:cs="Arial"/>
                      <w:szCs w:val="22"/>
                      <w:lang w:eastAsia="en-US"/>
                    </w:rPr>
                  </w:pPr>
                  <w:r w:rsidRPr="00C2457D">
                    <w:rPr>
                      <w:rFonts w:ascii="Calibri" w:eastAsia="Calibri" w:hAnsi="Calibri" w:cs="Arial"/>
                      <w:szCs w:val="22"/>
                      <w:lang w:eastAsia="en-US"/>
                    </w:rPr>
                    <w:t>Ensure patient case management arrangements are in place</w:t>
                  </w:r>
                </w:p>
                <w:p w14:paraId="51C83910" w14:textId="77777777" w:rsidR="00C2457D" w:rsidRPr="00C2457D" w:rsidRDefault="00C2457D" w:rsidP="007B7C47">
                  <w:pPr>
                    <w:framePr w:hSpace="180" w:wrap="around" w:vAnchor="text" w:hAnchor="margin" w:y="91"/>
                    <w:numPr>
                      <w:ilvl w:val="0"/>
                      <w:numId w:val="13"/>
                    </w:numPr>
                    <w:suppressAutoHyphens/>
                    <w:spacing w:line="240" w:lineRule="auto"/>
                    <w:ind w:left="284" w:hanging="284"/>
                    <w:jc w:val="left"/>
                    <w:rPr>
                      <w:rFonts w:ascii="Calibri" w:eastAsia="Calibri" w:hAnsi="Calibri" w:cs="Arial"/>
                      <w:szCs w:val="22"/>
                      <w:lang w:eastAsia="en-US"/>
                    </w:rPr>
                  </w:pPr>
                  <w:r w:rsidRPr="00C2457D">
                    <w:rPr>
                      <w:rFonts w:ascii="Calibri" w:eastAsia="Calibri" w:hAnsi="Calibri" w:cs="Arial"/>
                      <w:szCs w:val="22"/>
                      <w:lang w:eastAsia="en-US"/>
                    </w:rPr>
                    <w:t>Ensure reviews are undertaken in line with national policy and at other times as required</w:t>
                  </w:r>
                </w:p>
                <w:p w14:paraId="0941E8E4" w14:textId="77777777" w:rsidR="00C2457D" w:rsidRPr="00C2457D" w:rsidRDefault="00C2457D" w:rsidP="007B7C47">
                  <w:pPr>
                    <w:framePr w:hSpace="180" w:wrap="around" w:vAnchor="text" w:hAnchor="margin" w:y="91"/>
                    <w:numPr>
                      <w:ilvl w:val="0"/>
                      <w:numId w:val="13"/>
                    </w:numPr>
                    <w:suppressAutoHyphens/>
                    <w:spacing w:line="240" w:lineRule="auto"/>
                    <w:ind w:left="284" w:hanging="284"/>
                    <w:jc w:val="left"/>
                    <w:rPr>
                      <w:rFonts w:ascii="Calibri" w:eastAsia="Calibri" w:hAnsi="Calibri" w:cs="Arial"/>
                      <w:szCs w:val="22"/>
                      <w:lang w:eastAsia="en-US"/>
                    </w:rPr>
                  </w:pPr>
                  <w:r w:rsidRPr="00C2457D">
                    <w:rPr>
                      <w:rFonts w:ascii="Calibri" w:eastAsia="Calibri" w:hAnsi="Calibri" w:cs="Arial"/>
                      <w:szCs w:val="22"/>
                      <w:lang w:eastAsia="en-US"/>
                    </w:rPr>
                    <w:t>Ensure that the CCG is alerted to issues with Care providers which may compromise quality of care</w:t>
                  </w:r>
                </w:p>
              </w:tc>
            </w:tr>
          </w:tbl>
          <w:p w14:paraId="76A6FE28" w14:textId="77777777" w:rsidR="00C2457D" w:rsidRPr="00C2457D" w:rsidRDefault="00C2457D" w:rsidP="00C2457D">
            <w:pPr>
              <w:suppressAutoHyphens/>
              <w:spacing w:line="240" w:lineRule="auto"/>
              <w:jc w:val="left"/>
              <w:rPr>
                <w:rFonts w:eastAsia="Calibri" w:cs="Arial"/>
                <w:szCs w:val="22"/>
                <w:lang w:eastAsia="en-US"/>
              </w:rPr>
            </w:pPr>
          </w:p>
        </w:tc>
      </w:tr>
      <w:tr w:rsidR="00657963" w:rsidRPr="00C2457D" w14:paraId="2DDC2F21" w14:textId="77777777" w:rsidTr="00657963">
        <w:tc>
          <w:tcPr>
            <w:tcW w:w="2267" w:type="dxa"/>
            <w:tcBorders>
              <w:top w:val="single" w:sz="4" w:space="0" w:color="auto"/>
              <w:left w:val="nil"/>
              <w:bottom w:val="nil"/>
              <w:right w:val="nil"/>
            </w:tcBorders>
            <w:shd w:val="clear" w:color="auto" w:fill="auto"/>
          </w:tcPr>
          <w:p w14:paraId="3858272E" w14:textId="77777777" w:rsidR="00657963" w:rsidRPr="00C2457D" w:rsidRDefault="00657963" w:rsidP="00C2457D">
            <w:pPr>
              <w:spacing w:line="240" w:lineRule="auto"/>
              <w:rPr>
                <w:rFonts w:cs="Arial"/>
                <w:b/>
                <w:bCs/>
                <w:color w:val="FFFFFF"/>
                <w:kern w:val="32"/>
                <w:szCs w:val="22"/>
                <w:lang w:eastAsia="en-US"/>
              </w:rPr>
            </w:pPr>
          </w:p>
        </w:tc>
        <w:tc>
          <w:tcPr>
            <w:tcW w:w="7587" w:type="dxa"/>
            <w:tcBorders>
              <w:top w:val="single" w:sz="4" w:space="0" w:color="auto"/>
              <w:left w:val="nil"/>
              <w:bottom w:val="nil"/>
              <w:right w:val="nil"/>
            </w:tcBorders>
            <w:shd w:val="clear" w:color="auto" w:fill="auto"/>
          </w:tcPr>
          <w:p w14:paraId="28E3EF3F" w14:textId="77777777" w:rsidR="00657963" w:rsidRDefault="00657963" w:rsidP="00C2457D">
            <w:pPr>
              <w:spacing w:line="240" w:lineRule="auto"/>
              <w:rPr>
                <w:rFonts w:cs="Arial"/>
                <w:b/>
                <w:bCs/>
                <w:color w:val="FFFFFF"/>
                <w:kern w:val="32"/>
                <w:szCs w:val="22"/>
                <w:lang w:eastAsia="en-US"/>
              </w:rPr>
            </w:pPr>
          </w:p>
          <w:p w14:paraId="4B5E0E11" w14:textId="77777777" w:rsidR="00657963" w:rsidRDefault="00657963" w:rsidP="00C2457D">
            <w:pPr>
              <w:spacing w:line="240" w:lineRule="auto"/>
              <w:rPr>
                <w:rFonts w:cs="Arial"/>
                <w:b/>
                <w:bCs/>
                <w:color w:val="FFFFFF"/>
                <w:kern w:val="32"/>
                <w:szCs w:val="22"/>
                <w:lang w:eastAsia="en-US"/>
              </w:rPr>
            </w:pPr>
          </w:p>
          <w:p w14:paraId="724E7545" w14:textId="77777777" w:rsidR="00657963" w:rsidRDefault="00657963" w:rsidP="00C2457D">
            <w:pPr>
              <w:spacing w:line="240" w:lineRule="auto"/>
              <w:rPr>
                <w:rFonts w:cs="Arial"/>
                <w:b/>
                <w:bCs/>
                <w:color w:val="FFFFFF"/>
                <w:kern w:val="32"/>
                <w:szCs w:val="22"/>
                <w:lang w:eastAsia="en-US"/>
              </w:rPr>
            </w:pPr>
          </w:p>
          <w:p w14:paraId="46F5C2C4" w14:textId="77777777" w:rsidR="00657963" w:rsidRDefault="00657963" w:rsidP="00C2457D">
            <w:pPr>
              <w:spacing w:line="240" w:lineRule="auto"/>
              <w:rPr>
                <w:rFonts w:cs="Arial"/>
                <w:b/>
                <w:bCs/>
                <w:color w:val="FFFFFF"/>
                <w:kern w:val="32"/>
                <w:szCs w:val="22"/>
                <w:lang w:eastAsia="en-US"/>
              </w:rPr>
            </w:pPr>
          </w:p>
          <w:p w14:paraId="5D3DA5DA" w14:textId="77777777" w:rsidR="00657963" w:rsidRDefault="00657963" w:rsidP="00C2457D">
            <w:pPr>
              <w:spacing w:line="240" w:lineRule="auto"/>
              <w:rPr>
                <w:rFonts w:cs="Arial"/>
                <w:b/>
                <w:bCs/>
                <w:color w:val="FFFFFF"/>
                <w:kern w:val="32"/>
                <w:szCs w:val="22"/>
                <w:lang w:eastAsia="en-US"/>
              </w:rPr>
            </w:pPr>
          </w:p>
          <w:p w14:paraId="2110956E" w14:textId="77777777" w:rsidR="00657963" w:rsidRDefault="00657963" w:rsidP="00C2457D">
            <w:pPr>
              <w:spacing w:line="240" w:lineRule="auto"/>
              <w:rPr>
                <w:rFonts w:cs="Arial"/>
                <w:b/>
                <w:bCs/>
                <w:color w:val="FFFFFF"/>
                <w:kern w:val="32"/>
                <w:szCs w:val="22"/>
                <w:lang w:eastAsia="en-US"/>
              </w:rPr>
            </w:pPr>
          </w:p>
          <w:p w14:paraId="144172C2" w14:textId="77777777" w:rsidR="00657963" w:rsidRPr="00C2457D" w:rsidRDefault="00657963" w:rsidP="00C2457D">
            <w:pPr>
              <w:spacing w:line="240" w:lineRule="auto"/>
              <w:rPr>
                <w:rFonts w:cs="Arial"/>
                <w:b/>
                <w:bCs/>
                <w:color w:val="FFFFFF"/>
                <w:kern w:val="32"/>
                <w:szCs w:val="22"/>
                <w:lang w:eastAsia="en-US"/>
              </w:rPr>
            </w:pPr>
          </w:p>
        </w:tc>
      </w:tr>
      <w:tr w:rsidR="00C2457D" w:rsidRPr="00C2457D" w14:paraId="12C5594A" w14:textId="77777777" w:rsidTr="00657963">
        <w:tc>
          <w:tcPr>
            <w:tcW w:w="2267" w:type="dxa"/>
            <w:tcBorders>
              <w:top w:val="nil"/>
            </w:tcBorders>
            <w:shd w:val="clear" w:color="auto" w:fill="8DB3E2"/>
          </w:tcPr>
          <w:p w14:paraId="7308D6BB" w14:textId="77777777" w:rsidR="00C2457D" w:rsidRPr="00C2457D" w:rsidRDefault="00C2457D" w:rsidP="00C2457D">
            <w:pPr>
              <w:spacing w:line="240" w:lineRule="auto"/>
              <w:rPr>
                <w:rFonts w:cs="Arial"/>
                <w:b/>
                <w:bCs/>
                <w:color w:val="FFFFFF"/>
                <w:kern w:val="32"/>
                <w:szCs w:val="22"/>
                <w:lang w:eastAsia="en-US"/>
              </w:rPr>
            </w:pPr>
            <w:r w:rsidRPr="00C2457D">
              <w:rPr>
                <w:rFonts w:cs="Arial"/>
                <w:b/>
                <w:bCs/>
                <w:color w:val="FFFFFF"/>
                <w:kern w:val="32"/>
                <w:szCs w:val="22"/>
                <w:lang w:eastAsia="en-US"/>
              </w:rPr>
              <w:lastRenderedPageBreak/>
              <w:t>Party</w:t>
            </w:r>
          </w:p>
        </w:tc>
        <w:tc>
          <w:tcPr>
            <w:tcW w:w="7587" w:type="dxa"/>
            <w:tcBorders>
              <w:top w:val="nil"/>
            </w:tcBorders>
            <w:shd w:val="clear" w:color="auto" w:fill="8DB3E2"/>
          </w:tcPr>
          <w:p w14:paraId="3522CAA8" w14:textId="77777777" w:rsidR="00C2457D" w:rsidRPr="00C2457D" w:rsidRDefault="00C2457D" w:rsidP="00C2457D">
            <w:pPr>
              <w:spacing w:line="240" w:lineRule="auto"/>
              <w:rPr>
                <w:rFonts w:cs="Arial"/>
                <w:b/>
                <w:bCs/>
                <w:color w:val="FFFFFF"/>
                <w:kern w:val="32"/>
                <w:szCs w:val="22"/>
                <w:lang w:eastAsia="en-US"/>
              </w:rPr>
            </w:pPr>
            <w:r w:rsidRPr="00C2457D">
              <w:rPr>
                <w:rFonts w:cs="Arial"/>
                <w:b/>
                <w:bCs/>
                <w:color w:val="FFFFFF"/>
                <w:kern w:val="32"/>
                <w:szCs w:val="22"/>
                <w:lang w:eastAsia="en-US"/>
              </w:rPr>
              <w:t>Key responsibilities</w:t>
            </w:r>
          </w:p>
        </w:tc>
      </w:tr>
      <w:tr w:rsidR="00C2457D" w:rsidRPr="00C2457D" w14:paraId="7947D86E" w14:textId="77777777" w:rsidTr="00657963">
        <w:tc>
          <w:tcPr>
            <w:tcW w:w="2267" w:type="dxa"/>
            <w:tcBorders>
              <w:bottom w:val="single" w:sz="4" w:space="0" w:color="auto"/>
            </w:tcBorders>
            <w:shd w:val="clear" w:color="auto" w:fill="auto"/>
          </w:tcPr>
          <w:p w14:paraId="37FF1F96" w14:textId="77777777" w:rsidR="00C2457D" w:rsidRPr="00C2457D" w:rsidRDefault="00C2457D" w:rsidP="00C2457D">
            <w:pPr>
              <w:spacing w:line="240" w:lineRule="auto"/>
              <w:rPr>
                <w:rFonts w:cs="Arial"/>
                <w:b/>
                <w:bCs/>
                <w:kern w:val="32"/>
                <w:szCs w:val="22"/>
                <w:lang w:eastAsia="en-US"/>
              </w:rPr>
            </w:pPr>
          </w:p>
          <w:p w14:paraId="516B7DB4" w14:textId="77777777" w:rsidR="00C2457D" w:rsidRPr="00C2457D" w:rsidRDefault="00C2457D" w:rsidP="00C2457D">
            <w:pPr>
              <w:spacing w:line="240" w:lineRule="auto"/>
              <w:jc w:val="left"/>
              <w:rPr>
                <w:rFonts w:cs="Arial"/>
                <w:b/>
                <w:bCs/>
                <w:kern w:val="32"/>
                <w:szCs w:val="22"/>
                <w:lang w:eastAsia="en-US"/>
              </w:rPr>
            </w:pPr>
            <w:r w:rsidRPr="00C2457D">
              <w:rPr>
                <w:rFonts w:cs="Arial"/>
                <w:bCs/>
                <w:kern w:val="32"/>
                <w:sz w:val="20"/>
                <w:szCs w:val="20"/>
                <w:lang w:eastAsia="en-US"/>
              </w:rPr>
              <w:t>NEL Continuing Healthcare Panel</w:t>
            </w:r>
          </w:p>
        </w:tc>
        <w:tc>
          <w:tcPr>
            <w:tcW w:w="7587" w:type="dxa"/>
            <w:tcBorders>
              <w:bottom w:val="single" w:sz="4" w:space="0" w:color="auto"/>
            </w:tcBorders>
            <w:shd w:val="clear" w:color="auto" w:fill="auto"/>
          </w:tcPr>
          <w:p w14:paraId="23C255C8" w14:textId="77777777" w:rsidR="00C2457D" w:rsidRPr="00C2457D" w:rsidRDefault="00C2457D" w:rsidP="00C2457D">
            <w:pPr>
              <w:numPr>
                <w:ilvl w:val="0"/>
                <w:numId w:val="13"/>
              </w:numPr>
              <w:suppressAutoHyphens/>
              <w:spacing w:line="240" w:lineRule="auto"/>
              <w:ind w:left="284" w:hanging="284"/>
              <w:jc w:val="left"/>
              <w:rPr>
                <w:rFonts w:ascii="Calibri" w:eastAsia="Calibri" w:hAnsi="Calibri" w:cs="Arial"/>
                <w:szCs w:val="22"/>
                <w:lang w:eastAsia="en-US"/>
              </w:rPr>
            </w:pPr>
            <w:r w:rsidRPr="00C2457D">
              <w:rPr>
                <w:rFonts w:ascii="Calibri" w:eastAsia="Calibri" w:hAnsi="Calibri" w:cs="Arial"/>
                <w:szCs w:val="22"/>
                <w:lang w:eastAsia="en-US"/>
              </w:rPr>
              <w:t>Consider all applications for continuing healthcare eligibility in a timely and robust manner and verify recommendation</w:t>
            </w:r>
          </w:p>
          <w:p w14:paraId="7161A901" w14:textId="77777777" w:rsidR="00C2457D" w:rsidRPr="00C2457D" w:rsidRDefault="00C2457D" w:rsidP="00C2457D">
            <w:pPr>
              <w:numPr>
                <w:ilvl w:val="0"/>
                <w:numId w:val="13"/>
              </w:numPr>
              <w:suppressAutoHyphens/>
              <w:spacing w:line="240" w:lineRule="auto"/>
              <w:ind w:left="284" w:hanging="284"/>
              <w:jc w:val="left"/>
              <w:rPr>
                <w:rFonts w:ascii="Calibri" w:eastAsia="Calibri" w:hAnsi="Calibri" w:cs="Arial"/>
                <w:szCs w:val="22"/>
                <w:lang w:eastAsia="en-US"/>
              </w:rPr>
            </w:pPr>
            <w:r w:rsidRPr="00C2457D">
              <w:rPr>
                <w:rFonts w:ascii="Calibri" w:eastAsia="Calibri" w:hAnsi="Calibri" w:cs="Arial"/>
                <w:szCs w:val="22"/>
                <w:lang w:eastAsia="en-US"/>
              </w:rPr>
              <w:t>Consider all patients who no longer meet the eligibility for 100% care packages and verify recommendation</w:t>
            </w:r>
          </w:p>
          <w:p w14:paraId="4A9D72EA" w14:textId="77777777" w:rsidR="00C2457D" w:rsidRPr="00C2457D" w:rsidRDefault="00C2457D" w:rsidP="00C2457D">
            <w:pPr>
              <w:numPr>
                <w:ilvl w:val="0"/>
                <w:numId w:val="13"/>
              </w:numPr>
              <w:suppressAutoHyphens/>
              <w:spacing w:line="240" w:lineRule="auto"/>
              <w:ind w:left="284" w:hanging="284"/>
              <w:jc w:val="left"/>
              <w:rPr>
                <w:rFonts w:ascii="Calibri" w:eastAsia="Calibri" w:hAnsi="Calibri" w:cs="Arial"/>
                <w:szCs w:val="22"/>
                <w:lang w:eastAsia="en-US"/>
              </w:rPr>
            </w:pPr>
            <w:r w:rsidRPr="00C2457D">
              <w:rPr>
                <w:rFonts w:ascii="Calibri" w:eastAsia="Calibri" w:hAnsi="Calibri" w:cs="Arial"/>
                <w:szCs w:val="22"/>
                <w:lang w:eastAsia="en-US"/>
              </w:rPr>
              <w:t xml:space="preserve">Verify the eligibility of a client/patient for </w:t>
            </w:r>
            <w:proofErr w:type="gramStart"/>
            <w:r w:rsidRPr="00C2457D">
              <w:rPr>
                <w:rFonts w:ascii="Calibri" w:eastAsia="Calibri" w:hAnsi="Calibri" w:cs="Arial"/>
                <w:szCs w:val="22"/>
                <w:lang w:eastAsia="en-US"/>
              </w:rPr>
              <w:t>a</w:t>
            </w:r>
            <w:proofErr w:type="gramEnd"/>
            <w:r w:rsidRPr="00C2457D">
              <w:rPr>
                <w:rFonts w:ascii="Calibri" w:eastAsia="Calibri" w:hAnsi="Calibri" w:cs="Arial"/>
                <w:szCs w:val="22"/>
                <w:lang w:eastAsia="en-US"/>
              </w:rPr>
              <w:t xml:space="preserve"> NHS funded package of care</w:t>
            </w:r>
          </w:p>
          <w:p w14:paraId="154E560C" w14:textId="77777777" w:rsidR="00C2457D" w:rsidRPr="00C2457D" w:rsidRDefault="00C2457D" w:rsidP="00C2457D">
            <w:pPr>
              <w:numPr>
                <w:ilvl w:val="0"/>
                <w:numId w:val="13"/>
              </w:numPr>
              <w:suppressAutoHyphens/>
              <w:spacing w:line="240" w:lineRule="auto"/>
              <w:ind w:left="284" w:hanging="284"/>
              <w:jc w:val="left"/>
              <w:rPr>
                <w:rFonts w:ascii="Calibri" w:eastAsia="Calibri" w:hAnsi="Calibri" w:cs="Arial"/>
                <w:szCs w:val="22"/>
                <w:lang w:eastAsia="en-US"/>
              </w:rPr>
            </w:pPr>
            <w:r w:rsidRPr="00C2457D">
              <w:rPr>
                <w:rFonts w:ascii="Calibri" w:eastAsia="Calibri" w:hAnsi="Calibri" w:cs="Arial"/>
                <w:szCs w:val="22"/>
                <w:lang w:eastAsia="en-US"/>
              </w:rPr>
              <w:t>Review recommendation that an individual is no longer eligible for NHS FNC</w:t>
            </w:r>
          </w:p>
        </w:tc>
      </w:tr>
      <w:tr w:rsidR="00C2457D" w:rsidRPr="00C2457D" w14:paraId="531B38A2" w14:textId="77777777" w:rsidTr="00657963">
        <w:tc>
          <w:tcPr>
            <w:tcW w:w="2267" w:type="dxa"/>
            <w:tcBorders>
              <w:left w:val="nil"/>
              <w:bottom w:val="nil"/>
              <w:right w:val="nil"/>
            </w:tcBorders>
            <w:shd w:val="clear" w:color="auto" w:fill="auto"/>
          </w:tcPr>
          <w:p w14:paraId="5446FE81" w14:textId="77777777" w:rsidR="00C2457D" w:rsidRPr="00C2457D" w:rsidRDefault="00C2457D" w:rsidP="00C2457D">
            <w:pPr>
              <w:spacing w:line="240" w:lineRule="auto"/>
              <w:rPr>
                <w:rFonts w:cs="Arial"/>
                <w:b/>
                <w:bCs/>
                <w:kern w:val="32"/>
                <w:szCs w:val="22"/>
                <w:lang w:eastAsia="en-US"/>
              </w:rPr>
            </w:pPr>
          </w:p>
        </w:tc>
        <w:tc>
          <w:tcPr>
            <w:tcW w:w="7587" w:type="dxa"/>
            <w:tcBorders>
              <w:left w:val="nil"/>
              <w:bottom w:val="nil"/>
            </w:tcBorders>
            <w:shd w:val="clear" w:color="auto" w:fill="auto"/>
          </w:tcPr>
          <w:p w14:paraId="429E6F28" w14:textId="77777777" w:rsidR="00C2457D" w:rsidRPr="00C2457D" w:rsidRDefault="00C2457D" w:rsidP="00C2457D">
            <w:pPr>
              <w:suppressAutoHyphens/>
              <w:spacing w:line="240" w:lineRule="auto"/>
              <w:jc w:val="left"/>
              <w:rPr>
                <w:rFonts w:eastAsia="Calibri" w:cs="Arial"/>
                <w:szCs w:val="22"/>
                <w:lang w:eastAsia="en-US"/>
              </w:rPr>
            </w:pPr>
          </w:p>
        </w:tc>
      </w:tr>
      <w:tr w:rsidR="00C2457D" w:rsidRPr="00C2457D" w14:paraId="2AA7C059" w14:textId="77777777" w:rsidTr="00657963">
        <w:tc>
          <w:tcPr>
            <w:tcW w:w="2267" w:type="dxa"/>
            <w:tcBorders>
              <w:top w:val="nil"/>
            </w:tcBorders>
            <w:shd w:val="clear" w:color="auto" w:fill="8DB3E2"/>
          </w:tcPr>
          <w:p w14:paraId="5658764B" w14:textId="77777777" w:rsidR="00C2457D" w:rsidRPr="00C2457D" w:rsidRDefault="00C2457D" w:rsidP="00C2457D">
            <w:pPr>
              <w:spacing w:line="240" w:lineRule="auto"/>
              <w:rPr>
                <w:rFonts w:cs="Arial"/>
                <w:b/>
                <w:bCs/>
                <w:color w:val="FFFFFF"/>
                <w:kern w:val="32"/>
                <w:szCs w:val="22"/>
                <w:lang w:eastAsia="en-US"/>
              </w:rPr>
            </w:pPr>
            <w:r w:rsidRPr="00C2457D">
              <w:rPr>
                <w:rFonts w:cs="Arial"/>
                <w:b/>
                <w:bCs/>
                <w:color w:val="FFFFFF"/>
                <w:kern w:val="32"/>
                <w:szCs w:val="22"/>
                <w:lang w:eastAsia="en-US"/>
              </w:rPr>
              <w:t>Party</w:t>
            </w:r>
          </w:p>
        </w:tc>
        <w:tc>
          <w:tcPr>
            <w:tcW w:w="7587" w:type="dxa"/>
            <w:tcBorders>
              <w:top w:val="nil"/>
            </w:tcBorders>
            <w:shd w:val="clear" w:color="auto" w:fill="8DB3E2"/>
          </w:tcPr>
          <w:p w14:paraId="1ABEF41D" w14:textId="77777777" w:rsidR="00C2457D" w:rsidRPr="00C2457D" w:rsidRDefault="00C2457D" w:rsidP="00C2457D">
            <w:pPr>
              <w:spacing w:line="240" w:lineRule="auto"/>
              <w:rPr>
                <w:rFonts w:cs="Arial"/>
                <w:b/>
                <w:bCs/>
                <w:color w:val="FFFFFF"/>
                <w:kern w:val="32"/>
                <w:szCs w:val="22"/>
                <w:lang w:eastAsia="en-US"/>
              </w:rPr>
            </w:pPr>
            <w:r w:rsidRPr="00C2457D">
              <w:rPr>
                <w:rFonts w:cs="Arial"/>
                <w:b/>
                <w:bCs/>
                <w:color w:val="FFFFFF"/>
                <w:kern w:val="32"/>
                <w:szCs w:val="22"/>
                <w:lang w:eastAsia="en-US"/>
              </w:rPr>
              <w:t>Key responsibilities</w:t>
            </w:r>
          </w:p>
        </w:tc>
      </w:tr>
      <w:tr w:rsidR="00C2457D" w:rsidRPr="00C2457D" w14:paraId="1F6BB7C8" w14:textId="77777777" w:rsidTr="00657963">
        <w:tc>
          <w:tcPr>
            <w:tcW w:w="2267" w:type="dxa"/>
            <w:tcBorders>
              <w:bottom w:val="single" w:sz="4" w:space="0" w:color="auto"/>
            </w:tcBorders>
            <w:shd w:val="clear" w:color="auto" w:fill="auto"/>
          </w:tcPr>
          <w:p w14:paraId="008AD893" w14:textId="77777777" w:rsidR="00C2457D" w:rsidRPr="00C2457D" w:rsidRDefault="00C2457D" w:rsidP="00C2457D">
            <w:pPr>
              <w:spacing w:line="240" w:lineRule="auto"/>
              <w:rPr>
                <w:rFonts w:cs="Arial"/>
                <w:b/>
                <w:bCs/>
                <w:kern w:val="32"/>
                <w:szCs w:val="22"/>
                <w:lang w:eastAsia="en-US"/>
              </w:rPr>
            </w:pPr>
          </w:p>
          <w:p w14:paraId="69A32264" w14:textId="77777777" w:rsidR="00C2457D" w:rsidRPr="00C2457D" w:rsidRDefault="00C2457D" w:rsidP="00C2457D">
            <w:pPr>
              <w:spacing w:line="240" w:lineRule="auto"/>
              <w:jc w:val="left"/>
              <w:rPr>
                <w:rFonts w:cs="Arial"/>
                <w:b/>
              </w:rPr>
            </w:pPr>
            <w:r w:rsidRPr="00C2457D">
              <w:rPr>
                <w:rFonts w:cs="Arial"/>
                <w:bCs/>
                <w:kern w:val="32"/>
                <w:sz w:val="20"/>
                <w:szCs w:val="20"/>
                <w:lang w:eastAsia="en-US"/>
              </w:rPr>
              <w:t>NEL CCG NHS Continuing Healthcare funding, care package procurement</w:t>
            </w:r>
          </w:p>
        </w:tc>
        <w:tc>
          <w:tcPr>
            <w:tcW w:w="7587" w:type="dxa"/>
            <w:shd w:val="clear" w:color="auto" w:fill="auto"/>
          </w:tcPr>
          <w:p w14:paraId="326B4FDD" w14:textId="77777777" w:rsidR="00C2457D" w:rsidRPr="00C2457D" w:rsidRDefault="00C2457D" w:rsidP="00C2457D">
            <w:pPr>
              <w:numPr>
                <w:ilvl w:val="0"/>
                <w:numId w:val="13"/>
              </w:numPr>
              <w:suppressAutoHyphens/>
              <w:spacing w:line="240" w:lineRule="auto"/>
              <w:ind w:left="284" w:hanging="284"/>
              <w:jc w:val="left"/>
              <w:rPr>
                <w:rFonts w:ascii="Calibri" w:eastAsia="Calibri" w:hAnsi="Calibri" w:cs="Arial"/>
                <w:szCs w:val="22"/>
                <w:lang w:eastAsia="en-US"/>
              </w:rPr>
            </w:pPr>
            <w:r w:rsidRPr="00C2457D">
              <w:rPr>
                <w:rFonts w:ascii="Calibri" w:eastAsia="Calibri" w:hAnsi="Calibri" w:cs="Arial"/>
                <w:szCs w:val="22"/>
                <w:lang w:eastAsia="en-US"/>
              </w:rPr>
              <w:t>Ensure that an appropriate selection of packages including PHB, are offered to each client/patient based on their individual care plan</w:t>
            </w:r>
          </w:p>
          <w:p w14:paraId="59E3A80D" w14:textId="77777777" w:rsidR="00C2457D" w:rsidRDefault="00C2457D" w:rsidP="00C2457D">
            <w:pPr>
              <w:numPr>
                <w:ilvl w:val="0"/>
                <w:numId w:val="13"/>
              </w:numPr>
              <w:suppressAutoHyphens/>
              <w:spacing w:line="240" w:lineRule="auto"/>
              <w:ind w:left="284" w:hanging="284"/>
              <w:jc w:val="left"/>
              <w:rPr>
                <w:rFonts w:ascii="Calibri" w:eastAsia="Calibri" w:hAnsi="Calibri" w:cs="Arial"/>
                <w:szCs w:val="22"/>
                <w:lang w:eastAsia="en-US"/>
              </w:rPr>
            </w:pPr>
            <w:r w:rsidRPr="00C2457D">
              <w:rPr>
                <w:rFonts w:ascii="Calibri" w:eastAsia="Calibri" w:hAnsi="Calibri" w:cs="Arial"/>
                <w:szCs w:val="22"/>
                <w:lang w:eastAsia="en-US"/>
              </w:rPr>
              <w:t>Review all complex packages of care ensuring value for money has been considered</w:t>
            </w:r>
          </w:p>
          <w:p w14:paraId="0DB2E19A" w14:textId="21784EF1" w:rsidR="009F2F9A" w:rsidRPr="00697B5C" w:rsidRDefault="00697B5C" w:rsidP="00697B5C">
            <w:pPr>
              <w:numPr>
                <w:ilvl w:val="0"/>
                <w:numId w:val="13"/>
              </w:numPr>
              <w:suppressAutoHyphens/>
              <w:spacing w:line="240" w:lineRule="auto"/>
              <w:ind w:left="284" w:hanging="284"/>
              <w:jc w:val="left"/>
              <w:rPr>
                <w:rFonts w:ascii="Calibri" w:eastAsia="Calibri" w:hAnsi="Calibri" w:cs="Arial"/>
                <w:szCs w:val="22"/>
                <w:lang w:eastAsia="en-US"/>
              </w:rPr>
            </w:pPr>
            <w:r w:rsidRPr="00697B5C">
              <w:rPr>
                <w:rFonts w:ascii="Calibri" w:eastAsia="Calibri" w:hAnsi="Calibri" w:cs="Arial"/>
                <w:szCs w:val="22"/>
                <w:lang w:eastAsia="en-US"/>
              </w:rPr>
              <w:t xml:space="preserve">Ensure rationale for selected PHB offer is recorded on system/database and </w:t>
            </w:r>
            <w:r>
              <w:rPr>
                <w:rFonts w:ascii="Calibri" w:eastAsia="Calibri" w:hAnsi="Calibri" w:cs="Arial"/>
                <w:szCs w:val="22"/>
                <w:lang w:eastAsia="en-US"/>
              </w:rPr>
              <w:t>offer letter</w:t>
            </w:r>
          </w:p>
          <w:p w14:paraId="2285937C" w14:textId="77777777" w:rsidR="00C2457D" w:rsidRPr="00C2457D" w:rsidRDefault="00C2457D" w:rsidP="00C2457D">
            <w:pPr>
              <w:numPr>
                <w:ilvl w:val="0"/>
                <w:numId w:val="13"/>
              </w:numPr>
              <w:suppressAutoHyphens/>
              <w:spacing w:line="240" w:lineRule="auto"/>
              <w:ind w:left="284" w:hanging="284"/>
              <w:jc w:val="left"/>
              <w:rPr>
                <w:rFonts w:ascii="Calibri" w:eastAsia="Calibri" w:hAnsi="Calibri" w:cs="Arial"/>
                <w:szCs w:val="22"/>
                <w:lang w:eastAsia="en-US"/>
              </w:rPr>
            </w:pPr>
            <w:r w:rsidRPr="00C2457D">
              <w:rPr>
                <w:rFonts w:ascii="Calibri" w:eastAsia="Calibri" w:hAnsi="Calibri" w:cs="Arial"/>
                <w:szCs w:val="22"/>
                <w:lang w:eastAsia="en-US"/>
              </w:rPr>
              <w:t>Seek assurances that providers are fit and proper organisations to provide care</w:t>
            </w:r>
          </w:p>
          <w:p w14:paraId="7977BAE9" w14:textId="77777777" w:rsidR="00C2457D" w:rsidRDefault="00C2457D" w:rsidP="00C2457D">
            <w:pPr>
              <w:numPr>
                <w:ilvl w:val="0"/>
                <w:numId w:val="13"/>
              </w:numPr>
              <w:suppressAutoHyphens/>
              <w:spacing w:line="240" w:lineRule="auto"/>
              <w:ind w:left="284" w:hanging="284"/>
              <w:jc w:val="left"/>
              <w:rPr>
                <w:rFonts w:ascii="Calibri" w:eastAsia="Calibri" w:hAnsi="Calibri" w:cs="Arial"/>
                <w:szCs w:val="22"/>
                <w:lang w:eastAsia="en-US"/>
              </w:rPr>
            </w:pPr>
            <w:r w:rsidRPr="00C2457D">
              <w:rPr>
                <w:rFonts w:ascii="Calibri" w:eastAsia="Calibri" w:hAnsi="Calibri" w:cs="Arial"/>
                <w:szCs w:val="22"/>
                <w:lang w:eastAsia="en-US"/>
              </w:rPr>
              <w:t>Ensure that a database of clients and packages is maintained</w:t>
            </w:r>
          </w:p>
          <w:p w14:paraId="1E2C2A9E" w14:textId="49886972" w:rsidR="00C2457D" w:rsidRPr="00C2457D" w:rsidRDefault="00697B5C" w:rsidP="00697B5C">
            <w:pPr>
              <w:numPr>
                <w:ilvl w:val="0"/>
                <w:numId w:val="13"/>
              </w:numPr>
              <w:suppressAutoHyphens/>
              <w:spacing w:line="240" w:lineRule="auto"/>
              <w:ind w:left="284" w:hanging="284"/>
              <w:jc w:val="left"/>
              <w:rPr>
                <w:rFonts w:eastAsia="Calibri" w:cs="Arial"/>
                <w:szCs w:val="22"/>
                <w:lang w:eastAsia="en-US"/>
              </w:rPr>
            </w:pPr>
            <w:r w:rsidRPr="00697B5C">
              <w:rPr>
                <w:rFonts w:ascii="Calibri" w:eastAsia="Calibri" w:hAnsi="Calibri" w:cs="Arial"/>
                <w:szCs w:val="22"/>
                <w:lang w:eastAsia="en-US"/>
              </w:rPr>
              <w:t>Ensure all documentation/letters are completed and recorded on database</w:t>
            </w:r>
          </w:p>
        </w:tc>
      </w:tr>
      <w:tr w:rsidR="00C2457D" w:rsidRPr="00C2457D" w14:paraId="008A50C5" w14:textId="77777777" w:rsidTr="00657963">
        <w:tc>
          <w:tcPr>
            <w:tcW w:w="2267" w:type="dxa"/>
            <w:tcBorders>
              <w:left w:val="nil"/>
              <w:right w:val="nil"/>
            </w:tcBorders>
            <w:shd w:val="clear" w:color="auto" w:fill="auto"/>
          </w:tcPr>
          <w:p w14:paraId="02764478" w14:textId="77777777" w:rsidR="00C2457D" w:rsidRPr="00C2457D" w:rsidRDefault="00C2457D" w:rsidP="00C2457D">
            <w:pPr>
              <w:spacing w:line="240" w:lineRule="auto"/>
              <w:rPr>
                <w:rFonts w:cs="Arial"/>
                <w:b/>
                <w:bCs/>
                <w:kern w:val="32"/>
                <w:szCs w:val="22"/>
                <w:lang w:eastAsia="en-US"/>
              </w:rPr>
            </w:pPr>
          </w:p>
        </w:tc>
        <w:tc>
          <w:tcPr>
            <w:tcW w:w="7587" w:type="dxa"/>
            <w:tcBorders>
              <w:left w:val="nil"/>
            </w:tcBorders>
            <w:shd w:val="clear" w:color="auto" w:fill="auto"/>
          </w:tcPr>
          <w:p w14:paraId="0E2D7265" w14:textId="77777777" w:rsidR="00C2457D" w:rsidRPr="00C2457D" w:rsidRDefault="00C2457D" w:rsidP="00C2457D">
            <w:pPr>
              <w:suppressAutoHyphens/>
              <w:spacing w:line="240" w:lineRule="auto"/>
              <w:jc w:val="left"/>
              <w:rPr>
                <w:rFonts w:eastAsia="Calibri" w:cs="Arial"/>
                <w:szCs w:val="22"/>
                <w:lang w:eastAsia="en-US"/>
              </w:rPr>
            </w:pPr>
          </w:p>
        </w:tc>
      </w:tr>
      <w:tr w:rsidR="00C2457D" w:rsidRPr="00C2457D" w14:paraId="1B6B814A" w14:textId="77777777" w:rsidTr="00657963">
        <w:tc>
          <w:tcPr>
            <w:tcW w:w="2267" w:type="dxa"/>
            <w:shd w:val="clear" w:color="auto" w:fill="8DB3E2"/>
          </w:tcPr>
          <w:p w14:paraId="55494DA6" w14:textId="77777777" w:rsidR="00C2457D" w:rsidRPr="00C2457D" w:rsidRDefault="00C2457D" w:rsidP="00C2457D">
            <w:pPr>
              <w:spacing w:line="240" w:lineRule="auto"/>
              <w:rPr>
                <w:rFonts w:cs="Arial"/>
                <w:b/>
                <w:bCs/>
                <w:color w:val="FFFFFF"/>
                <w:kern w:val="32"/>
                <w:szCs w:val="22"/>
                <w:lang w:eastAsia="en-US"/>
              </w:rPr>
            </w:pPr>
            <w:r w:rsidRPr="00C2457D">
              <w:rPr>
                <w:rFonts w:cs="Arial"/>
                <w:b/>
                <w:bCs/>
                <w:color w:val="FFFFFF"/>
                <w:kern w:val="32"/>
                <w:szCs w:val="22"/>
                <w:lang w:eastAsia="en-US"/>
              </w:rPr>
              <w:t>Party</w:t>
            </w:r>
          </w:p>
        </w:tc>
        <w:tc>
          <w:tcPr>
            <w:tcW w:w="7587" w:type="dxa"/>
            <w:shd w:val="clear" w:color="auto" w:fill="8DB3E2"/>
          </w:tcPr>
          <w:p w14:paraId="7834C4B6" w14:textId="77777777" w:rsidR="00C2457D" w:rsidRPr="00C2457D" w:rsidRDefault="00C2457D" w:rsidP="00C2457D">
            <w:pPr>
              <w:spacing w:line="240" w:lineRule="auto"/>
              <w:rPr>
                <w:rFonts w:cs="Arial"/>
                <w:b/>
                <w:bCs/>
                <w:color w:val="FFFFFF"/>
                <w:kern w:val="32"/>
                <w:szCs w:val="22"/>
                <w:lang w:eastAsia="en-US"/>
              </w:rPr>
            </w:pPr>
            <w:r w:rsidRPr="00C2457D">
              <w:rPr>
                <w:rFonts w:cs="Arial"/>
                <w:b/>
                <w:bCs/>
                <w:color w:val="FFFFFF"/>
                <w:kern w:val="32"/>
                <w:szCs w:val="22"/>
                <w:lang w:eastAsia="en-US"/>
              </w:rPr>
              <w:t>Key responsibilities</w:t>
            </w:r>
          </w:p>
        </w:tc>
      </w:tr>
      <w:tr w:rsidR="00C2457D" w:rsidRPr="00C2457D" w14:paraId="3B35F072" w14:textId="77777777" w:rsidTr="00657963">
        <w:tc>
          <w:tcPr>
            <w:tcW w:w="2267" w:type="dxa"/>
            <w:shd w:val="clear" w:color="auto" w:fill="auto"/>
          </w:tcPr>
          <w:p w14:paraId="064BC170" w14:textId="77777777" w:rsidR="00C2457D" w:rsidRPr="00C2457D" w:rsidRDefault="00C2457D" w:rsidP="00C2457D">
            <w:pPr>
              <w:spacing w:line="240" w:lineRule="auto"/>
              <w:rPr>
                <w:rFonts w:cs="Arial"/>
                <w:b/>
                <w:bCs/>
                <w:kern w:val="32"/>
                <w:szCs w:val="22"/>
                <w:lang w:eastAsia="en-US"/>
              </w:rPr>
            </w:pPr>
          </w:p>
          <w:p w14:paraId="23489917" w14:textId="77777777" w:rsidR="00C2457D" w:rsidRPr="00C2457D" w:rsidRDefault="00C2457D" w:rsidP="00C2457D">
            <w:pPr>
              <w:spacing w:line="240" w:lineRule="auto"/>
              <w:jc w:val="left"/>
              <w:rPr>
                <w:rFonts w:cs="Arial"/>
                <w:b/>
              </w:rPr>
            </w:pPr>
            <w:r w:rsidRPr="00C2457D">
              <w:rPr>
                <w:rFonts w:cs="Arial"/>
                <w:bCs/>
                <w:kern w:val="32"/>
                <w:sz w:val="20"/>
                <w:szCs w:val="20"/>
                <w:lang w:eastAsia="en-US"/>
              </w:rPr>
              <w:t>NEL CCG Contracts and contract monitoring</w:t>
            </w:r>
            <w:r w:rsidRPr="00C2457D">
              <w:rPr>
                <w:rFonts w:cs="Arial"/>
                <w:b/>
              </w:rPr>
              <w:t xml:space="preserve"> </w:t>
            </w:r>
          </w:p>
        </w:tc>
        <w:tc>
          <w:tcPr>
            <w:tcW w:w="7587" w:type="dxa"/>
            <w:shd w:val="clear" w:color="auto" w:fill="auto"/>
          </w:tcPr>
          <w:p w14:paraId="3325D20F" w14:textId="77777777" w:rsidR="00C2457D" w:rsidRPr="00C2457D" w:rsidRDefault="00C2457D" w:rsidP="00C2457D">
            <w:pPr>
              <w:numPr>
                <w:ilvl w:val="0"/>
                <w:numId w:val="13"/>
              </w:numPr>
              <w:suppressAutoHyphens/>
              <w:spacing w:line="240" w:lineRule="auto"/>
              <w:ind w:left="284" w:hanging="284"/>
              <w:jc w:val="left"/>
              <w:rPr>
                <w:rFonts w:ascii="Calibri" w:eastAsia="Calibri" w:hAnsi="Calibri" w:cs="Arial"/>
                <w:szCs w:val="22"/>
                <w:lang w:eastAsia="en-US"/>
              </w:rPr>
            </w:pPr>
            <w:r w:rsidRPr="00C2457D">
              <w:rPr>
                <w:rFonts w:ascii="Calibri" w:eastAsia="Calibri" w:hAnsi="Calibri" w:cs="Arial"/>
                <w:szCs w:val="22"/>
                <w:lang w:eastAsia="en-US"/>
              </w:rPr>
              <w:t>Utilise the NEL CCG Policies for patients being placed within a care home with nursing</w:t>
            </w:r>
          </w:p>
          <w:p w14:paraId="4CF866F6" w14:textId="77777777" w:rsidR="00C2457D" w:rsidRPr="00C2457D" w:rsidRDefault="00C2457D" w:rsidP="00C2457D">
            <w:pPr>
              <w:numPr>
                <w:ilvl w:val="0"/>
                <w:numId w:val="13"/>
              </w:numPr>
              <w:suppressAutoHyphens/>
              <w:spacing w:line="240" w:lineRule="auto"/>
              <w:ind w:left="284" w:hanging="284"/>
              <w:jc w:val="left"/>
              <w:rPr>
                <w:rFonts w:ascii="Calibri" w:eastAsia="Calibri" w:hAnsi="Calibri" w:cs="Arial"/>
                <w:szCs w:val="22"/>
                <w:lang w:eastAsia="en-US"/>
              </w:rPr>
            </w:pPr>
            <w:r w:rsidRPr="00C2457D">
              <w:rPr>
                <w:rFonts w:ascii="Calibri" w:eastAsia="Calibri" w:hAnsi="Calibri" w:cs="Arial"/>
                <w:szCs w:val="22"/>
                <w:lang w:eastAsia="en-US"/>
              </w:rPr>
              <w:t>Seek assurances in all cases that the providers have CQC accreditation</w:t>
            </w:r>
          </w:p>
          <w:p w14:paraId="7092B937" w14:textId="77777777" w:rsidR="00C2457D" w:rsidRPr="00C2457D" w:rsidRDefault="00C2457D" w:rsidP="00C2457D">
            <w:pPr>
              <w:numPr>
                <w:ilvl w:val="0"/>
                <w:numId w:val="13"/>
              </w:numPr>
              <w:suppressAutoHyphens/>
              <w:spacing w:line="240" w:lineRule="auto"/>
              <w:ind w:left="284" w:hanging="284"/>
              <w:jc w:val="left"/>
              <w:rPr>
                <w:rFonts w:ascii="Calibri" w:eastAsia="Calibri" w:hAnsi="Calibri" w:cs="Arial"/>
                <w:szCs w:val="22"/>
                <w:lang w:eastAsia="en-US"/>
              </w:rPr>
            </w:pPr>
            <w:r w:rsidRPr="00C2457D">
              <w:rPr>
                <w:rFonts w:ascii="Calibri" w:eastAsia="Calibri" w:hAnsi="Calibri" w:cs="Arial"/>
                <w:szCs w:val="22"/>
                <w:lang w:eastAsia="en-US"/>
              </w:rPr>
              <w:t>Monitor the usage of Personal Health Budgets ensuring quality of provision and value for money</w:t>
            </w:r>
          </w:p>
          <w:p w14:paraId="47D8689E" w14:textId="77777777" w:rsidR="00C2457D" w:rsidRPr="00C2457D" w:rsidRDefault="00C2457D" w:rsidP="00C2457D">
            <w:pPr>
              <w:numPr>
                <w:ilvl w:val="0"/>
                <w:numId w:val="13"/>
              </w:numPr>
              <w:suppressAutoHyphens/>
              <w:spacing w:line="240" w:lineRule="auto"/>
              <w:ind w:left="284" w:hanging="284"/>
              <w:jc w:val="left"/>
              <w:rPr>
                <w:rFonts w:ascii="Calibri" w:eastAsia="Calibri" w:hAnsi="Calibri" w:cs="Arial"/>
                <w:szCs w:val="22"/>
                <w:lang w:eastAsia="en-US"/>
              </w:rPr>
            </w:pPr>
            <w:r w:rsidRPr="00C2457D">
              <w:rPr>
                <w:rFonts w:ascii="Calibri" w:eastAsia="Calibri" w:hAnsi="Calibri" w:cs="Arial"/>
                <w:szCs w:val="22"/>
                <w:lang w:eastAsia="en-US"/>
              </w:rPr>
              <w:t>Develop contracts with providers that ensure high quality care delivery and value for money.</w:t>
            </w:r>
          </w:p>
          <w:p w14:paraId="54325621" w14:textId="77777777" w:rsidR="00C2457D" w:rsidRPr="00C2457D" w:rsidRDefault="00C2457D" w:rsidP="00C2457D">
            <w:pPr>
              <w:numPr>
                <w:ilvl w:val="0"/>
                <w:numId w:val="13"/>
              </w:numPr>
              <w:suppressAutoHyphens/>
              <w:spacing w:line="240" w:lineRule="auto"/>
              <w:ind w:left="284" w:hanging="284"/>
              <w:jc w:val="left"/>
              <w:rPr>
                <w:rFonts w:ascii="Calibri" w:eastAsia="Calibri" w:hAnsi="Calibri" w:cs="Arial"/>
                <w:szCs w:val="22"/>
                <w:lang w:eastAsia="en-US"/>
              </w:rPr>
            </w:pPr>
            <w:r w:rsidRPr="00C2457D">
              <w:rPr>
                <w:rFonts w:ascii="Calibri" w:eastAsia="Calibri" w:hAnsi="Calibri" w:cs="Arial"/>
                <w:szCs w:val="22"/>
                <w:lang w:eastAsia="en-US"/>
              </w:rPr>
              <w:t xml:space="preserve">Quality </w:t>
            </w:r>
            <w:proofErr w:type="gramStart"/>
            <w:r w:rsidRPr="00C2457D">
              <w:rPr>
                <w:rFonts w:ascii="Calibri" w:eastAsia="Calibri" w:hAnsi="Calibri" w:cs="Arial"/>
                <w:szCs w:val="22"/>
                <w:lang w:eastAsia="en-US"/>
              </w:rPr>
              <w:t>monitor</w:t>
            </w:r>
            <w:proofErr w:type="gramEnd"/>
            <w:r w:rsidRPr="00C2457D">
              <w:rPr>
                <w:rFonts w:ascii="Calibri" w:eastAsia="Calibri" w:hAnsi="Calibri" w:cs="Arial"/>
                <w:szCs w:val="22"/>
                <w:lang w:eastAsia="en-US"/>
              </w:rPr>
              <w:t xml:space="preserve"> all contracts.</w:t>
            </w:r>
          </w:p>
          <w:p w14:paraId="2A1F1CF0" w14:textId="77777777" w:rsidR="00C2457D" w:rsidRDefault="00C2457D" w:rsidP="00C2457D">
            <w:pPr>
              <w:numPr>
                <w:ilvl w:val="0"/>
                <w:numId w:val="13"/>
              </w:numPr>
              <w:suppressAutoHyphens/>
              <w:spacing w:line="240" w:lineRule="auto"/>
              <w:ind w:left="284" w:hanging="284"/>
              <w:jc w:val="left"/>
              <w:rPr>
                <w:rFonts w:ascii="Calibri" w:eastAsia="Calibri" w:hAnsi="Calibri" w:cs="Arial"/>
                <w:szCs w:val="22"/>
                <w:lang w:eastAsia="en-US"/>
              </w:rPr>
            </w:pPr>
            <w:r w:rsidRPr="00C2457D">
              <w:rPr>
                <w:rFonts w:ascii="Calibri" w:eastAsia="Calibri" w:hAnsi="Calibri" w:cs="Arial"/>
                <w:szCs w:val="22"/>
                <w:lang w:eastAsia="en-US"/>
              </w:rPr>
              <w:t>Annual quality audits undertaken</w:t>
            </w:r>
          </w:p>
          <w:p w14:paraId="23C44273" w14:textId="0E6E5180" w:rsidR="00C2457D" w:rsidRPr="00C2457D" w:rsidRDefault="00F7173D" w:rsidP="00F7173D">
            <w:pPr>
              <w:numPr>
                <w:ilvl w:val="0"/>
                <w:numId w:val="13"/>
              </w:numPr>
              <w:suppressAutoHyphens/>
              <w:spacing w:line="240" w:lineRule="auto"/>
              <w:ind w:left="284" w:hanging="284"/>
              <w:jc w:val="left"/>
              <w:rPr>
                <w:rFonts w:eastAsia="Calibri" w:cs="Arial"/>
                <w:szCs w:val="22"/>
                <w:lang w:eastAsia="en-US"/>
              </w:rPr>
            </w:pPr>
            <w:r w:rsidRPr="00F7173D">
              <w:rPr>
                <w:rFonts w:ascii="Calibri" w:eastAsia="Calibri" w:hAnsi="Calibri" w:cs="Arial"/>
                <w:szCs w:val="22"/>
                <w:lang w:eastAsia="en-US"/>
              </w:rPr>
              <w:t>Ensure all individuals who are offered a PHB are aware this is a signed contract between themselves and the CCG and as such will be subject to review and audit.</w:t>
            </w:r>
          </w:p>
        </w:tc>
      </w:tr>
    </w:tbl>
    <w:p w14:paraId="4744636A" w14:textId="4F34F40A" w:rsidR="002B5A68" w:rsidRDefault="002B5A68" w:rsidP="0023452C">
      <w:pPr>
        <w:pStyle w:val="Heading1"/>
      </w:pPr>
    </w:p>
    <w:p w14:paraId="25A6A556" w14:textId="77777777" w:rsidR="00172C11" w:rsidRPr="009256EE" w:rsidRDefault="00C177DB" w:rsidP="0023452C">
      <w:pPr>
        <w:pStyle w:val="Heading1"/>
      </w:pPr>
      <w:bookmarkStart w:id="9" w:name="_Toc26875373"/>
      <w:r>
        <w:t>6</w:t>
      </w:r>
      <w:r w:rsidR="0023452C">
        <w:t xml:space="preserve">.  </w:t>
      </w:r>
      <w:r w:rsidR="00172C11" w:rsidRPr="009256EE">
        <w:t>C</w:t>
      </w:r>
      <w:r w:rsidR="0023452C">
        <w:t>ONTEXT</w:t>
      </w:r>
      <w:bookmarkEnd w:id="9"/>
    </w:p>
    <w:p w14:paraId="0521A731" w14:textId="77777777" w:rsidR="00314236" w:rsidRDefault="00314236" w:rsidP="0023452C">
      <w:pPr>
        <w:pStyle w:val="NoSpacing"/>
        <w:spacing w:line="240" w:lineRule="auto"/>
      </w:pPr>
    </w:p>
    <w:p w14:paraId="7717B932" w14:textId="77777777" w:rsidR="00172C11" w:rsidRPr="0023452C" w:rsidRDefault="00172C11" w:rsidP="0023452C">
      <w:pPr>
        <w:pStyle w:val="NoSpacing"/>
        <w:spacing w:line="240" w:lineRule="auto"/>
        <w:rPr>
          <w:rFonts w:ascii="Arial" w:hAnsi="Arial" w:cs="Arial"/>
        </w:rPr>
      </w:pPr>
      <w:r w:rsidRPr="0023452C">
        <w:rPr>
          <w:rFonts w:ascii="Arial" w:hAnsi="Arial" w:cs="Arial"/>
        </w:rPr>
        <w:t>Personal Budgets have been used by social services since 1997 for adults of working age and were extended to older people (2000). From 2003, Local Authorities were required to offer direct payments to everyone using community care services.</w:t>
      </w:r>
    </w:p>
    <w:p w14:paraId="6428AE6B" w14:textId="77777777" w:rsidR="00172C11" w:rsidRPr="009256EE" w:rsidRDefault="00172C11" w:rsidP="0023452C">
      <w:pPr>
        <w:pStyle w:val="NoSpacing"/>
        <w:spacing w:line="240" w:lineRule="auto"/>
      </w:pPr>
    </w:p>
    <w:p w14:paraId="07B8376F" w14:textId="77777777" w:rsidR="00172C11" w:rsidRPr="0023452C" w:rsidRDefault="00172C11" w:rsidP="0023452C">
      <w:pPr>
        <w:pStyle w:val="NoSpacing"/>
        <w:spacing w:line="240" w:lineRule="auto"/>
        <w:rPr>
          <w:rFonts w:ascii="Arial" w:hAnsi="Arial" w:cs="Arial"/>
        </w:rPr>
      </w:pPr>
      <w:r w:rsidRPr="0023452C">
        <w:rPr>
          <w:rFonts w:ascii="Arial" w:hAnsi="Arial" w:cs="Arial"/>
        </w:rPr>
        <w:t>The government continues to place an emphasis on the integration of health and social care in the provision of ‘patient centred’ care, with recognition that personal health budgets ‘might be a vehicle to promote better integration’ (1).</w:t>
      </w:r>
    </w:p>
    <w:p w14:paraId="41335AC4" w14:textId="77777777" w:rsidR="00172C11" w:rsidRPr="0023452C" w:rsidRDefault="00172C11" w:rsidP="0023452C">
      <w:pPr>
        <w:pStyle w:val="NoSpacing"/>
        <w:spacing w:line="240" w:lineRule="auto"/>
        <w:rPr>
          <w:rFonts w:ascii="Arial" w:hAnsi="Arial" w:cs="Arial"/>
        </w:rPr>
      </w:pPr>
    </w:p>
    <w:p w14:paraId="6A2DE8F1" w14:textId="77777777" w:rsidR="00172C11" w:rsidRPr="0023452C" w:rsidRDefault="00172C11" w:rsidP="0023452C">
      <w:pPr>
        <w:pStyle w:val="NoSpacing"/>
        <w:spacing w:line="240" w:lineRule="auto"/>
        <w:rPr>
          <w:rFonts w:ascii="Arial" w:hAnsi="Arial" w:cs="Arial"/>
        </w:rPr>
      </w:pPr>
      <w:r w:rsidRPr="0023452C">
        <w:rPr>
          <w:rFonts w:ascii="Arial" w:hAnsi="Arial" w:cs="Arial"/>
        </w:rPr>
        <w:t xml:space="preserve">To examine personal health budgets within the NHS in more detail, a </w:t>
      </w:r>
      <w:proofErr w:type="gramStart"/>
      <w:r w:rsidRPr="0023452C">
        <w:rPr>
          <w:rFonts w:ascii="Arial" w:hAnsi="Arial" w:cs="Arial"/>
        </w:rPr>
        <w:t>three year</w:t>
      </w:r>
      <w:proofErr w:type="gramEnd"/>
      <w:r w:rsidRPr="0023452C">
        <w:rPr>
          <w:rFonts w:ascii="Arial" w:hAnsi="Arial" w:cs="Arial"/>
        </w:rPr>
        <w:t xml:space="preserve"> pilot program was initiated in 2009 with a final independent evaluation report released in November 2012 (1). Some of the headlines highlighted within the national evaluation where: </w:t>
      </w:r>
    </w:p>
    <w:p w14:paraId="7E4E5A49" w14:textId="77777777" w:rsidR="00172C11" w:rsidRPr="0023452C" w:rsidRDefault="00172C11" w:rsidP="0023452C">
      <w:pPr>
        <w:pStyle w:val="NoSpacing"/>
        <w:spacing w:line="240" w:lineRule="auto"/>
        <w:rPr>
          <w:rFonts w:ascii="Arial" w:hAnsi="Arial" w:cs="Arial"/>
        </w:rPr>
      </w:pPr>
    </w:p>
    <w:p w14:paraId="1EEAA293" w14:textId="77777777" w:rsidR="00172C11" w:rsidRPr="0023452C" w:rsidRDefault="00172C11" w:rsidP="0023452C">
      <w:pPr>
        <w:pStyle w:val="NoSpacing"/>
        <w:spacing w:line="240" w:lineRule="auto"/>
        <w:rPr>
          <w:rFonts w:ascii="Arial" w:hAnsi="Arial" w:cs="Arial"/>
        </w:rPr>
      </w:pPr>
      <w:r w:rsidRPr="0023452C">
        <w:rPr>
          <w:rFonts w:ascii="Arial" w:hAnsi="Arial" w:cs="Arial"/>
        </w:rPr>
        <w:t xml:space="preserve">Personal health budgets were associated with an improvement in the care related quality of life and psychological wellbeing for both patients and carers. </w:t>
      </w:r>
    </w:p>
    <w:p w14:paraId="2A6BA537" w14:textId="77777777" w:rsidR="00172C11" w:rsidRPr="0023452C" w:rsidRDefault="00172C11" w:rsidP="0023452C">
      <w:pPr>
        <w:pStyle w:val="NoSpacing"/>
        <w:spacing w:line="240" w:lineRule="auto"/>
        <w:rPr>
          <w:rFonts w:ascii="Arial" w:hAnsi="Arial" w:cs="Arial"/>
        </w:rPr>
      </w:pPr>
    </w:p>
    <w:p w14:paraId="7EADF137" w14:textId="77777777" w:rsidR="00172C11" w:rsidRPr="0023452C" w:rsidRDefault="00172C11" w:rsidP="0023452C">
      <w:pPr>
        <w:pStyle w:val="NoSpacing"/>
        <w:spacing w:line="240" w:lineRule="auto"/>
        <w:rPr>
          <w:rFonts w:ascii="Arial" w:hAnsi="Arial" w:cs="Arial"/>
        </w:rPr>
      </w:pPr>
      <w:r w:rsidRPr="0023452C">
        <w:rPr>
          <w:rFonts w:ascii="Arial" w:hAnsi="Arial" w:cs="Arial"/>
        </w:rPr>
        <w:t xml:space="preserve">Those with the highest level of need found the biggest impact on their quality of life and well-being. </w:t>
      </w:r>
    </w:p>
    <w:p w14:paraId="720BBAB2" w14:textId="77777777" w:rsidR="00172C11" w:rsidRPr="0023452C" w:rsidRDefault="00172C11" w:rsidP="0023452C">
      <w:pPr>
        <w:pStyle w:val="NoSpacing"/>
        <w:spacing w:line="240" w:lineRule="auto"/>
        <w:rPr>
          <w:rFonts w:ascii="Arial" w:hAnsi="Arial" w:cs="Arial"/>
        </w:rPr>
      </w:pPr>
    </w:p>
    <w:p w14:paraId="0B9648AD" w14:textId="4E089A00" w:rsidR="00C2457D" w:rsidRPr="006C3D47" w:rsidRDefault="00172C11" w:rsidP="006C3D47">
      <w:pPr>
        <w:pStyle w:val="NoSpacing"/>
        <w:spacing w:line="240" w:lineRule="auto"/>
        <w:rPr>
          <w:rFonts w:ascii="Arial" w:hAnsi="Arial" w:cs="Arial"/>
        </w:rPr>
      </w:pPr>
      <w:r w:rsidRPr="0023452C">
        <w:rPr>
          <w:rFonts w:ascii="Arial" w:hAnsi="Arial" w:cs="Arial"/>
        </w:rPr>
        <w:t>Personal health budgets were most effective against planned outcomes when patients and carers were given clear information and guidance, with choice and control over a selection of services and how thes</w:t>
      </w:r>
      <w:r w:rsidR="008454B6">
        <w:rPr>
          <w:rFonts w:ascii="Arial" w:hAnsi="Arial" w:cs="Arial"/>
        </w:rPr>
        <w:t xml:space="preserve">e were purchased and provided. </w:t>
      </w:r>
    </w:p>
    <w:p w14:paraId="1F6EBDFC" w14:textId="77777777" w:rsidR="00C2457D" w:rsidRDefault="00C2457D" w:rsidP="0023452C">
      <w:pPr>
        <w:spacing w:line="240" w:lineRule="auto"/>
        <w:jc w:val="left"/>
        <w:rPr>
          <w:rFonts w:eastAsia="Calibri" w:cs="Arial"/>
          <w:szCs w:val="22"/>
          <w:lang w:eastAsia="en-US"/>
        </w:rPr>
      </w:pPr>
    </w:p>
    <w:p w14:paraId="767B3BAB" w14:textId="77777777" w:rsidR="00172C11" w:rsidRPr="009256EE" w:rsidRDefault="00C177DB" w:rsidP="0023452C">
      <w:pPr>
        <w:pStyle w:val="Heading1"/>
        <w:rPr>
          <w:lang w:eastAsia="en-US"/>
        </w:rPr>
      </w:pPr>
      <w:bookmarkStart w:id="10" w:name="_Toc26875374"/>
      <w:r>
        <w:rPr>
          <w:rFonts w:eastAsia="Calibri"/>
          <w:lang w:eastAsia="en-US"/>
        </w:rPr>
        <w:t>7</w:t>
      </w:r>
      <w:r w:rsidR="0023452C">
        <w:rPr>
          <w:rFonts w:eastAsia="Calibri"/>
          <w:lang w:eastAsia="en-US"/>
        </w:rPr>
        <w:t xml:space="preserve">.  </w:t>
      </w:r>
      <w:r w:rsidR="00172C11" w:rsidRPr="009256EE">
        <w:rPr>
          <w:lang w:eastAsia="en-US"/>
        </w:rPr>
        <w:t>B</w:t>
      </w:r>
      <w:r w:rsidR="0023452C">
        <w:rPr>
          <w:lang w:eastAsia="en-US"/>
        </w:rPr>
        <w:t>ACKGROUND</w:t>
      </w:r>
      <w:bookmarkEnd w:id="10"/>
    </w:p>
    <w:p w14:paraId="70AD0821" w14:textId="77777777" w:rsidR="00172C11" w:rsidRPr="009256EE" w:rsidRDefault="00172C11" w:rsidP="00172C11">
      <w:pPr>
        <w:spacing w:line="240" w:lineRule="auto"/>
        <w:jc w:val="left"/>
        <w:rPr>
          <w:rFonts w:cs="Arial"/>
          <w:b/>
          <w:kern w:val="0"/>
          <w:szCs w:val="22"/>
          <w:lang w:eastAsia="en-US"/>
        </w:rPr>
      </w:pPr>
    </w:p>
    <w:p w14:paraId="391DC151" w14:textId="77777777" w:rsidR="0023452C" w:rsidRDefault="00172C11" w:rsidP="0023452C">
      <w:pPr>
        <w:pStyle w:val="NoSpacing"/>
        <w:spacing w:line="240" w:lineRule="auto"/>
        <w:jc w:val="left"/>
        <w:rPr>
          <w:u w:val="single"/>
        </w:rPr>
      </w:pPr>
      <w:r w:rsidRPr="0023452C">
        <w:rPr>
          <w:rFonts w:ascii="Arial" w:hAnsi="Arial" w:cs="Arial"/>
          <w:u w:val="single"/>
        </w:rPr>
        <w:t>What is NHS Continuing Healthcare?</w:t>
      </w:r>
    </w:p>
    <w:p w14:paraId="458E067C" w14:textId="77777777" w:rsidR="00172C11" w:rsidRPr="0023452C" w:rsidRDefault="00172C11" w:rsidP="00C177DB">
      <w:pPr>
        <w:pStyle w:val="NoSpacing"/>
        <w:spacing w:line="240" w:lineRule="auto"/>
        <w:rPr>
          <w:rFonts w:ascii="Arial" w:hAnsi="Arial" w:cs="Arial"/>
        </w:rPr>
      </w:pPr>
      <w:r w:rsidRPr="009256EE">
        <w:br/>
      </w:r>
      <w:r w:rsidRPr="0023452C">
        <w:rPr>
          <w:rFonts w:ascii="Arial" w:hAnsi="Arial" w:cs="Arial"/>
        </w:rPr>
        <w:t xml:space="preserve">‘NHS Continuing Healthcare’ means a package of on-going care that is arranged and funded solely by the NHS where the individual has been found to have a ‘primary health need’ as set out in ‘The National Framework for NHS Continuing Healthcare and NHS-funded Nursing Care (Revised </w:t>
      </w:r>
      <w:r w:rsidRPr="00C2457D">
        <w:rPr>
          <w:rFonts w:ascii="Arial" w:hAnsi="Arial" w:cs="Arial"/>
        </w:rPr>
        <w:t>201</w:t>
      </w:r>
      <w:r w:rsidR="00F73003" w:rsidRPr="00C2457D">
        <w:rPr>
          <w:rFonts w:ascii="Arial" w:hAnsi="Arial" w:cs="Arial"/>
        </w:rPr>
        <w:t>8</w:t>
      </w:r>
      <w:r w:rsidRPr="0023452C">
        <w:rPr>
          <w:rFonts w:ascii="Arial" w:hAnsi="Arial" w:cs="Arial"/>
        </w:rPr>
        <w:t xml:space="preserve">)’. Such care is provided to an individual aged 18 or over, to meet needs that have arisen </w:t>
      </w:r>
      <w:proofErr w:type="gramStart"/>
      <w:r w:rsidRPr="0023452C">
        <w:rPr>
          <w:rFonts w:ascii="Arial" w:hAnsi="Arial" w:cs="Arial"/>
        </w:rPr>
        <w:t>as a result of</w:t>
      </w:r>
      <w:proofErr w:type="gramEnd"/>
      <w:r w:rsidRPr="0023452C">
        <w:rPr>
          <w:rFonts w:ascii="Arial" w:hAnsi="Arial" w:cs="Arial"/>
        </w:rPr>
        <w:t xml:space="preserve"> disability, accident or illness. The actual services provided as part of the package should be seen in the wider context of best practice and service development for each client group. Eligibility for NHS Continuing Healthcare places no limits on the settings in which the package of support can be offered or on the type of service delivery.</w:t>
      </w:r>
    </w:p>
    <w:p w14:paraId="749B9684" w14:textId="77777777" w:rsidR="00172C11" w:rsidRPr="009256EE" w:rsidRDefault="00172C11" w:rsidP="00C177DB">
      <w:pPr>
        <w:pStyle w:val="NoSpacing"/>
        <w:spacing w:line="240" w:lineRule="auto"/>
        <w:rPr>
          <w:b/>
        </w:rPr>
      </w:pPr>
    </w:p>
    <w:p w14:paraId="0FEA2D22" w14:textId="77777777" w:rsidR="00172C11" w:rsidRPr="0023452C" w:rsidRDefault="00172C11" w:rsidP="0023452C">
      <w:pPr>
        <w:pStyle w:val="NoSpacing"/>
        <w:spacing w:line="240" w:lineRule="auto"/>
        <w:jc w:val="left"/>
        <w:rPr>
          <w:rFonts w:ascii="Arial" w:hAnsi="Arial" w:cs="Arial"/>
          <w:u w:val="single"/>
        </w:rPr>
      </w:pPr>
      <w:r w:rsidRPr="0023452C">
        <w:rPr>
          <w:rFonts w:ascii="Arial" w:hAnsi="Arial" w:cs="Arial"/>
          <w:u w:val="single"/>
        </w:rPr>
        <w:t xml:space="preserve">What </w:t>
      </w:r>
      <w:proofErr w:type="gramStart"/>
      <w:r w:rsidRPr="0023452C">
        <w:rPr>
          <w:rFonts w:ascii="Arial" w:hAnsi="Arial" w:cs="Arial"/>
          <w:u w:val="single"/>
        </w:rPr>
        <w:t>is</w:t>
      </w:r>
      <w:proofErr w:type="gramEnd"/>
      <w:r w:rsidRPr="0023452C">
        <w:rPr>
          <w:rFonts w:ascii="Arial" w:hAnsi="Arial" w:cs="Arial"/>
          <w:u w:val="single"/>
        </w:rPr>
        <w:t xml:space="preserve"> Children’s Continuing Care?</w:t>
      </w:r>
    </w:p>
    <w:p w14:paraId="25D2297A" w14:textId="77777777" w:rsidR="00172C11" w:rsidRPr="009256EE" w:rsidRDefault="00172C11" w:rsidP="0023452C">
      <w:pPr>
        <w:pStyle w:val="NoSpacing"/>
        <w:spacing w:line="240" w:lineRule="auto"/>
        <w:rPr>
          <w:b/>
          <w:bCs/>
        </w:rPr>
      </w:pPr>
    </w:p>
    <w:p w14:paraId="0A8DE2AC" w14:textId="77777777" w:rsidR="00172C11" w:rsidRDefault="00172C11" w:rsidP="0023452C">
      <w:pPr>
        <w:pStyle w:val="NoSpacing"/>
        <w:spacing w:line="240" w:lineRule="auto"/>
        <w:rPr>
          <w:rFonts w:ascii="Arial" w:hAnsi="Arial" w:cs="Arial"/>
        </w:rPr>
      </w:pPr>
      <w:r w:rsidRPr="0023452C">
        <w:rPr>
          <w:rFonts w:ascii="Arial" w:hAnsi="Arial" w:cs="Arial"/>
        </w:rPr>
        <w:t>The National Framework for Children’s Continuing Care defines a children’s continuing care package as a bespoke package of care that is offered to children or young people under the age of 18 and their families. The individual’s needs are complex, arising from disabilit</w:t>
      </w:r>
      <w:r w:rsidR="00CB2144">
        <w:rPr>
          <w:rFonts w:ascii="Arial" w:hAnsi="Arial" w:cs="Arial"/>
        </w:rPr>
        <w:t xml:space="preserve">y, accident or illness and </w:t>
      </w:r>
      <w:r w:rsidRPr="0023452C">
        <w:rPr>
          <w:rFonts w:ascii="Arial" w:hAnsi="Arial" w:cs="Arial"/>
        </w:rPr>
        <w:t xml:space="preserve">they cannot be met by universal or specialist services. This also includes the provision of continuing care packages for children and young people with challenging behaviour. For </w:t>
      </w:r>
      <w:proofErr w:type="gramStart"/>
      <w:r w:rsidRPr="0023452C">
        <w:rPr>
          <w:rFonts w:ascii="Arial" w:hAnsi="Arial" w:cs="Arial"/>
        </w:rPr>
        <w:t>the majority of</w:t>
      </w:r>
      <w:proofErr w:type="gramEnd"/>
      <w:r w:rsidRPr="0023452C">
        <w:rPr>
          <w:rFonts w:ascii="Arial" w:hAnsi="Arial" w:cs="Arial"/>
        </w:rPr>
        <w:t xml:space="preserve"> children and young people the continuing care element will be part of a tripartite funding stream along with education and social care; a number of these children and young people will have an Education, Health and Care Plan following implementation of the SEND agenda.</w:t>
      </w:r>
    </w:p>
    <w:p w14:paraId="003DA08D" w14:textId="77777777" w:rsidR="0023452C" w:rsidRDefault="0023452C" w:rsidP="0023452C">
      <w:pPr>
        <w:pStyle w:val="NoSpacing"/>
        <w:spacing w:line="240" w:lineRule="auto"/>
        <w:jc w:val="left"/>
        <w:rPr>
          <w:rFonts w:ascii="Arial" w:hAnsi="Arial" w:cs="Arial"/>
        </w:rPr>
      </w:pPr>
    </w:p>
    <w:p w14:paraId="57450050" w14:textId="77777777" w:rsidR="00172C11" w:rsidRPr="0023452C" w:rsidRDefault="00172C11" w:rsidP="0023452C">
      <w:pPr>
        <w:pStyle w:val="NoSpacing"/>
        <w:spacing w:line="240" w:lineRule="auto"/>
        <w:jc w:val="left"/>
        <w:rPr>
          <w:rFonts w:ascii="Arial" w:hAnsi="Arial" w:cs="Arial"/>
          <w:u w:val="single"/>
        </w:rPr>
      </w:pPr>
      <w:r w:rsidRPr="0023452C">
        <w:rPr>
          <w:rFonts w:ascii="Arial" w:hAnsi="Arial" w:cs="Arial"/>
          <w:u w:val="single"/>
        </w:rPr>
        <w:t>What are Personal Health Budgets?</w:t>
      </w:r>
    </w:p>
    <w:p w14:paraId="0D29D4A9" w14:textId="77777777" w:rsidR="00172C11" w:rsidRPr="009256EE" w:rsidRDefault="00172C11" w:rsidP="0023452C">
      <w:pPr>
        <w:pStyle w:val="NoSpacing"/>
        <w:spacing w:line="240" w:lineRule="auto"/>
        <w:rPr>
          <w:b/>
          <w:bCs/>
        </w:rPr>
      </w:pPr>
    </w:p>
    <w:p w14:paraId="18CFFFDC" w14:textId="77777777" w:rsidR="00172C11" w:rsidRDefault="00172C11" w:rsidP="0023452C">
      <w:pPr>
        <w:pStyle w:val="NoSpacing"/>
        <w:spacing w:line="240" w:lineRule="auto"/>
        <w:rPr>
          <w:rFonts w:ascii="Arial" w:hAnsi="Arial" w:cs="Arial"/>
        </w:rPr>
      </w:pPr>
      <w:r w:rsidRPr="0023452C">
        <w:rPr>
          <w:rFonts w:ascii="Arial" w:hAnsi="Arial" w:cs="Arial"/>
        </w:rPr>
        <w:t>Personal health budgets are an amount of money to support a person’s identified health and wellbeing needs, planned and agreed between the person and their local NHS team. A personal health budget is not new money, but rather enables people to use funding in different ways, ways that work for them. The NHS vision for personal health budgets is to enable people with long term conditions and disabilities to have greater choice, flexibility and control over the health care and support they receive.</w:t>
      </w:r>
    </w:p>
    <w:p w14:paraId="7E9751B1" w14:textId="77777777" w:rsidR="00F73003" w:rsidRDefault="00F73003" w:rsidP="0023452C">
      <w:pPr>
        <w:pStyle w:val="NoSpacing"/>
        <w:spacing w:line="240" w:lineRule="auto"/>
        <w:rPr>
          <w:rFonts w:ascii="Arial" w:hAnsi="Arial" w:cs="Arial"/>
        </w:rPr>
      </w:pPr>
    </w:p>
    <w:p w14:paraId="0E25EB0A" w14:textId="77777777" w:rsidR="00F73003" w:rsidRPr="00C2457D" w:rsidRDefault="00F73003" w:rsidP="00F73003">
      <w:pPr>
        <w:spacing w:line="240" w:lineRule="auto"/>
        <w:contextualSpacing/>
        <w:rPr>
          <w:rFonts w:cs="Arial"/>
          <w:b/>
          <w:kern w:val="0"/>
          <w:szCs w:val="22"/>
          <w:lang w:eastAsia="en-US"/>
        </w:rPr>
      </w:pPr>
      <w:r w:rsidRPr="00C2457D">
        <w:rPr>
          <w:rFonts w:cs="Arial"/>
          <w:b/>
          <w:kern w:val="0"/>
          <w:szCs w:val="22"/>
          <w:lang w:eastAsia="en-US"/>
        </w:rPr>
        <w:t>Who is eligible to apply for a Personal Health Budget?</w:t>
      </w:r>
    </w:p>
    <w:p w14:paraId="5FB69C4C" w14:textId="77777777" w:rsidR="00F73003" w:rsidRPr="00C2457D" w:rsidRDefault="00F73003" w:rsidP="00F73003">
      <w:pPr>
        <w:spacing w:line="240" w:lineRule="auto"/>
        <w:rPr>
          <w:rFonts w:cs="Arial"/>
          <w:b/>
          <w:kern w:val="0"/>
          <w:szCs w:val="22"/>
          <w:lang w:eastAsia="en-US"/>
        </w:rPr>
      </w:pPr>
    </w:p>
    <w:p w14:paraId="7B96FC41" w14:textId="77777777" w:rsidR="00F73003" w:rsidRPr="00C2457D" w:rsidRDefault="00F73003" w:rsidP="00F73003">
      <w:pPr>
        <w:spacing w:line="240" w:lineRule="auto"/>
        <w:contextualSpacing/>
        <w:rPr>
          <w:rFonts w:cs="Arial"/>
          <w:kern w:val="0"/>
          <w:szCs w:val="22"/>
          <w:lang w:eastAsia="en-US"/>
        </w:rPr>
      </w:pPr>
      <w:r w:rsidRPr="00C2457D">
        <w:rPr>
          <w:rFonts w:cs="Arial"/>
          <w:kern w:val="0"/>
          <w:szCs w:val="22"/>
          <w:lang w:eastAsia="en-US"/>
        </w:rPr>
        <w:t>Examples include but are not limited to:</w:t>
      </w:r>
    </w:p>
    <w:p w14:paraId="6A5831FC" w14:textId="77777777" w:rsidR="00F73003" w:rsidRPr="00C2457D" w:rsidRDefault="00F73003" w:rsidP="00F73003">
      <w:pPr>
        <w:spacing w:line="240" w:lineRule="auto"/>
        <w:contextualSpacing/>
        <w:rPr>
          <w:rFonts w:cs="Arial"/>
          <w:kern w:val="0"/>
          <w:szCs w:val="22"/>
          <w:lang w:eastAsia="en-US"/>
        </w:rPr>
      </w:pPr>
    </w:p>
    <w:p w14:paraId="548291CC" w14:textId="77777777" w:rsidR="00F73003" w:rsidRPr="00C2457D" w:rsidRDefault="00F73003" w:rsidP="00C2457D">
      <w:pPr>
        <w:numPr>
          <w:ilvl w:val="0"/>
          <w:numId w:val="2"/>
        </w:numPr>
        <w:spacing w:line="240" w:lineRule="auto"/>
        <w:ind w:left="360"/>
        <w:contextualSpacing/>
        <w:rPr>
          <w:rFonts w:cs="Arial"/>
          <w:kern w:val="0"/>
          <w:szCs w:val="22"/>
          <w:lang w:eastAsia="en-US"/>
        </w:rPr>
      </w:pPr>
      <w:r w:rsidRPr="00C2457D">
        <w:rPr>
          <w:rFonts w:cs="Arial"/>
          <w:kern w:val="0"/>
          <w:szCs w:val="22"/>
          <w:lang w:eastAsia="en-US"/>
        </w:rPr>
        <w:t>The individual should be registered with a North East Lincolnshire GP</w:t>
      </w:r>
    </w:p>
    <w:p w14:paraId="3020259D" w14:textId="77777777" w:rsidR="00F73003" w:rsidRPr="00C2457D" w:rsidRDefault="00F73003" w:rsidP="00C2457D">
      <w:pPr>
        <w:numPr>
          <w:ilvl w:val="0"/>
          <w:numId w:val="2"/>
        </w:numPr>
        <w:spacing w:line="240" w:lineRule="auto"/>
        <w:ind w:left="360"/>
        <w:contextualSpacing/>
        <w:rPr>
          <w:rFonts w:cs="Arial"/>
          <w:kern w:val="0"/>
          <w:szCs w:val="22"/>
          <w:lang w:eastAsia="en-US"/>
        </w:rPr>
      </w:pPr>
      <w:r w:rsidRPr="00C2457D">
        <w:rPr>
          <w:rFonts w:cs="Arial"/>
          <w:kern w:val="0"/>
          <w:szCs w:val="22"/>
          <w:lang w:eastAsia="en-US"/>
        </w:rPr>
        <w:t>Individuals eligible for NHS Continuing Healthcare or Children’s</w:t>
      </w:r>
    </w:p>
    <w:p w14:paraId="5C4FBE17" w14:textId="77777777" w:rsidR="00F73003" w:rsidRPr="00C2457D" w:rsidRDefault="00F73003" w:rsidP="00C2457D">
      <w:pPr>
        <w:spacing w:line="240" w:lineRule="auto"/>
        <w:ind w:left="360"/>
        <w:contextualSpacing/>
        <w:rPr>
          <w:rFonts w:cs="Arial"/>
          <w:kern w:val="0"/>
          <w:szCs w:val="22"/>
          <w:lang w:eastAsia="en-US"/>
        </w:rPr>
      </w:pPr>
      <w:r w:rsidRPr="00C2457D">
        <w:rPr>
          <w:rFonts w:cs="Arial"/>
          <w:kern w:val="0"/>
          <w:szCs w:val="22"/>
          <w:lang w:eastAsia="en-US"/>
        </w:rPr>
        <w:t xml:space="preserve"> Continuing Healthcare already have a right to have a personal budget</w:t>
      </w:r>
    </w:p>
    <w:p w14:paraId="7A3C7230" w14:textId="77777777" w:rsidR="00F73003" w:rsidRPr="00C2457D" w:rsidRDefault="00F73003" w:rsidP="00C2457D">
      <w:pPr>
        <w:numPr>
          <w:ilvl w:val="0"/>
          <w:numId w:val="2"/>
        </w:numPr>
        <w:spacing w:line="240" w:lineRule="auto"/>
        <w:ind w:left="360"/>
        <w:contextualSpacing/>
        <w:rPr>
          <w:rFonts w:cs="Arial"/>
          <w:kern w:val="0"/>
          <w:szCs w:val="22"/>
          <w:lang w:eastAsia="en-US"/>
        </w:rPr>
      </w:pPr>
      <w:r w:rsidRPr="00C2457D">
        <w:rPr>
          <w:rFonts w:cs="Arial"/>
          <w:kern w:val="0"/>
          <w:szCs w:val="22"/>
          <w:lang w:eastAsia="en-US"/>
        </w:rPr>
        <w:t xml:space="preserve">Children with education, </w:t>
      </w:r>
      <w:proofErr w:type="gramStart"/>
      <w:r w:rsidRPr="00C2457D">
        <w:rPr>
          <w:rFonts w:cs="Arial"/>
          <w:kern w:val="0"/>
          <w:szCs w:val="22"/>
          <w:lang w:eastAsia="en-US"/>
        </w:rPr>
        <w:t>health</w:t>
      </w:r>
      <w:proofErr w:type="gramEnd"/>
      <w:r w:rsidRPr="00C2457D">
        <w:rPr>
          <w:rFonts w:cs="Arial"/>
          <w:kern w:val="0"/>
          <w:szCs w:val="22"/>
          <w:lang w:eastAsia="en-US"/>
        </w:rPr>
        <w:t xml:space="preserve"> and care plan (EHC) who could benefit from a joint budget from the NHS and Social Care</w:t>
      </w:r>
    </w:p>
    <w:p w14:paraId="7BF5829C" w14:textId="77777777" w:rsidR="00197149" w:rsidRPr="00C2457D" w:rsidRDefault="00197149" w:rsidP="00C2457D">
      <w:pPr>
        <w:numPr>
          <w:ilvl w:val="0"/>
          <w:numId w:val="2"/>
        </w:numPr>
        <w:spacing w:line="240" w:lineRule="auto"/>
        <w:ind w:left="360"/>
        <w:contextualSpacing/>
        <w:rPr>
          <w:rFonts w:cs="Arial"/>
          <w:kern w:val="0"/>
          <w:szCs w:val="22"/>
          <w:lang w:eastAsia="en-US"/>
        </w:rPr>
      </w:pPr>
      <w:r w:rsidRPr="00C2457D">
        <w:rPr>
          <w:rFonts w:cs="Arial"/>
          <w:kern w:val="0"/>
          <w:szCs w:val="22"/>
          <w:lang w:eastAsia="en-US"/>
        </w:rPr>
        <w:t>Individuals with a learning disability and/or Autism and high support needs</w:t>
      </w:r>
    </w:p>
    <w:p w14:paraId="14A09F86" w14:textId="77777777" w:rsidR="00197149" w:rsidRPr="00C2457D" w:rsidRDefault="00197149" w:rsidP="00C2457D">
      <w:pPr>
        <w:numPr>
          <w:ilvl w:val="0"/>
          <w:numId w:val="2"/>
        </w:numPr>
        <w:spacing w:line="240" w:lineRule="auto"/>
        <w:ind w:left="360"/>
        <w:contextualSpacing/>
        <w:rPr>
          <w:rFonts w:cs="Arial"/>
          <w:kern w:val="0"/>
          <w:szCs w:val="22"/>
          <w:lang w:eastAsia="en-US"/>
        </w:rPr>
      </w:pPr>
      <w:r w:rsidRPr="00C2457D">
        <w:rPr>
          <w:rFonts w:cs="Arial"/>
          <w:kern w:val="0"/>
          <w:szCs w:val="22"/>
          <w:lang w:eastAsia="en-US"/>
        </w:rPr>
        <w:t>Individuals accessing mental health services</w:t>
      </w:r>
    </w:p>
    <w:p w14:paraId="71148D1A" w14:textId="77777777" w:rsidR="00197149" w:rsidRPr="00C2457D" w:rsidRDefault="00197149" w:rsidP="00C2457D">
      <w:pPr>
        <w:numPr>
          <w:ilvl w:val="0"/>
          <w:numId w:val="2"/>
        </w:numPr>
        <w:spacing w:line="240" w:lineRule="auto"/>
        <w:ind w:left="360"/>
        <w:contextualSpacing/>
        <w:rPr>
          <w:rFonts w:cs="Arial"/>
          <w:kern w:val="0"/>
          <w:szCs w:val="22"/>
          <w:lang w:eastAsia="en-US"/>
        </w:rPr>
      </w:pPr>
      <w:r w:rsidRPr="00C2457D">
        <w:rPr>
          <w:rFonts w:cs="Arial"/>
          <w:kern w:val="0"/>
          <w:szCs w:val="22"/>
          <w:lang w:eastAsia="en-US"/>
        </w:rPr>
        <w:t>Individuals with long term conditions</w:t>
      </w:r>
    </w:p>
    <w:p w14:paraId="3C760BD7" w14:textId="77777777" w:rsidR="00197149" w:rsidRPr="00C2457D" w:rsidRDefault="00197149" w:rsidP="00C2457D">
      <w:pPr>
        <w:numPr>
          <w:ilvl w:val="0"/>
          <w:numId w:val="2"/>
        </w:numPr>
        <w:spacing w:line="240" w:lineRule="auto"/>
        <w:ind w:left="360"/>
        <w:contextualSpacing/>
        <w:rPr>
          <w:rFonts w:cs="Arial"/>
          <w:kern w:val="0"/>
          <w:szCs w:val="22"/>
          <w:lang w:eastAsia="en-US"/>
        </w:rPr>
      </w:pPr>
      <w:r w:rsidRPr="00C2457D">
        <w:rPr>
          <w:rFonts w:cs="Arial"/>
          <w:kern w:val="0"/>
          <w:szCs w:val="22"/>
          <w:lang w:eastAsia="en-US"/>
        </w:rPr>
        <w:t>Individuals who are wheelchair users</w:t>
      </w:r>
    </w:p>
    <w:p w14:paraId="17B11871" w14:textId="77777777" w:rsidR="00197149" w:rsidRPr="00C2457D" w:rsidRDefault="00197149" w:rsidP="00C2457D">
      <w:pPr>
        <w:numPr>
          <w:ilvl w:val="0"/>
          <w:numId w:val="2"/>
        </w:numPr>
        <w:spacing w:line="240" w:lineRule="auto"/>
        <w:ind w:left="360"/>
        <w:contextualSpacing/>
        <w:rPr>
          <w:rFonts w:cs="Arial"/>
          <w:kern w:val="0"/>
          <w:szCs w:val="22"/>
          <w:lang w:eastAsia="en-US"/>
        </w:rPr>
      </w:pPr>
      <w:r w:rsidRPr="00C2457D">
        <w:rPr>
          <w:rFonts w:cs="Arial"/>
          <w:kern w:val="0"/>
          <w:szCs w:val="22"/>
          <w:lang w:eastAsia="en-US"/>
        </w:rPr>
        <w:t>End of life and fast track users</w:t>
      </w:r>
    </w:p>
    <w:p w14:paraId="000358A8" w14:textId="012C6D9A" w:rsidR="00197149" w:rsidRDefault="00197149" w:rsidP="00197149">
      <w:pPr>
        <w:spacing w:line="240" w:lineRule="auto"/>
        <w:contextualSpacing/>
        <w:rPr>
          <w:rFonts w:cs="Arial"/>
          <w:kern w:val="0"/>
          <w:szCs w:val="22"/>
          <w:lang w:eastAsia="en-US"/>
        </w:rPr>
      </w:pPr>
    </w:p>
    <w:p w14:paraId="20754D3E" w14:textId="7CBD9041" w:rsidR="006C3D47" w:rsidRDefault="006C3D47" w:rsidP="00197149">
      <w:pPr>
        <w:spacing w:line="240" w:lineRule="auto"/>
        <w:contextualSpacing/>
        <w:rPr>
          <w:rFonts w:cs="Arial"/>
          <w:kern w:val="0"/>
          <w:szCs w:val="22"/>
          <w:lang w:eastAsia="en-US"/>
        </w:rPr>
      </w:pPr>
    </w:p>
    <w:p w14:paraId="0F53FB89" w14:textId="77777777" w:rsidR="00F565A3" w:rsidRPr="00C2457D" w:rsidRDefault="00F565A3" w:rsidP="00197149">
      <w:pPr>
        <w:spacing w:line="240" w:lineRule="auto"/>
        <w:contextualSpacing/>
        <w:rPr>
          <w:rFonts w:cs="Arial"/>
          <w:kern w:val="0"/>
          <w:szCs w:val="22"/>
          <w:lang w:eastAsia="en-US"/>
        </w:rPr>
      </w:pPr>
    </w:p>
    <w:p w14:paraId="1B6CE1F3" w14:textId="77777777" w:rsidR="00197149" w:rsidRPr="00C2457D" w:rsidRDefault="00197149" w:rsidP="00197149">
      <w:pPr>
        <w:spacing w:line="240" w:lineRule="auto"/>
        <w:contextualSpacing/>
        <w:rPr>
          <w:rFonts w:cs="Arial"/>
          <w:b/>
          <w:kern w:val="0"/>
          <w:szCs w:val="22"/>
          <w:lang w:eastAsia="en-US"/>
        </w:rPr>
      </w:pPr>
      <w:r w:rsidRPr="00C2457D">
        <w:rPr>
          <w:rFonts w:cs="Arial"/>
          <w:b/>
          <w:kern w:val="0"/>
          <w:szCs w:val="22"/>
          <w:lang w:eastAsia="en-US"/>
        </w:rPr>
        <w:lastRenderedPageBreak/>
        <w:t>Who is excluded from receiving a Personal Health Budget?</w:t>
      </w:r>
    </w:p>
    <w:p w14:paraId="3B24F49B" w14:textId="77777777" w:rsidR="00314236" w:rsidRPr="00C2457D" w:rsidRDefault="00314236" w:rsidP="00197149">
      <w:pPr>
        <w:spacing w:line="240" w:lineRule="auto"/>
        <w:contextualSpacing/>
        <w:rPr>
          <w:rFonts w:cs="Arial"/>
          <w:b/>
          <w:kern w:val="0"/>
          <w:szCs w:val="22"/>
          <w:lang w:eastAsia="en-US"/>
        </w:rPr>
      </w:pPr>
    </w:p>
    <w:p w14:paraId="13C8B0FF" w14:textId="77777777" w:rsidR="00197149" w:rsidRPr="00C2457D" w:rsidRDefault="00197149" w:rsidP="00C2457D">
      <w:pPr>
        <w:numPr>
          <w:ilvl w:val="0"/>
          <w:numId w:val="3"/>
        </w:numPr>
        <w:spacing w:line="240" w:lineRule="auto"/>
        <w:contextualSpacing/>
        <w:rPr>
          <w:rFonts w:cs="Arial"/>
          <w:kern w:val="0"/>
          <w:szCs w:val="22"/>
          <w:lang w:eastAsia="en-US"/>
        </w:rPr>
      </w:pPr>
      <w:r w:rsidRPr="00C2457D">
        <w:rPr>
          <w:rFonts w:cs="Arial"/>
          <w:kern w:val="0"/>
          <w:szCs w:val="22"/>
          <w:lang w:eastAsia="en-US"/>
        </w:rPr>
        <w:t>Individuals subject to certain criminal justice orders for alcohol or drug misuse may not receive a direct payment, but may be able to use another form of PHB to personalise their care</w:t>
      </w:r>
    </w:p>
    <w:p w14:paraId="153AD7CB" w14:textId="77777777" w:rsidR="00197149" w:rsidRPr="00C2457D" w:rsidRDefault="00197149" w:rsidP="00C2457D">
      <w:pPr>
        <w:numPr>
          <w:ilvl w:val="0"/>
          <w:numId w:val="3"/>
        </w:numPr>
        <w:spacing w:line="240" w:lineRule="auto"/>
        <w:contextualSpacing/>
        <w:rPr>
          <w:rFonts w:cs="Arial"/>
          <w:kern w:val="0"/>
          <w:szCs w:val="22"/>
          <w:lang w:eastAsia="en-US"/>
        </w:rPr>
      </w:pPr>
      <w:r w:rsidRPr="00C2457D">
        <w:rPr>
          <w:rFonts w:cs="Arial"/>
          <w:kern w:val="0"/>
          <w:szCs w:val="22"/>
          <w:lang w:eastAsia="en-US"/>
        </w:rPr>
        <w:t xml:space="preserve">If a person does not have the required capacity to agree to a PHB (and there is no one with the legal right to do so on their </w:t>
      </w:r>
      <w:proofErr w:type="gramStart"/>
      <w:r w:rsidRPr="00C2457D">
        <w:rPr>
          <w:rFonts w:cs="Arial"/>
          <w:kern w:val="0"/>
          <w:szCs w:val="22"/>
          <w:lang w:eastAsia="en-US"/>
        </w:rPr>
        <w:t>behalf</w:t>
      </w:r>
      <w:proofErr w:type="gramEnd"/>
      <w:r w:rsidRPr="00C2457D">
        <w:rPr>
          <w:rFonts w:cs="Arial"/>
          <w:kern w:val="0"/>
          <w:szCs w:val="22"/>
          <w:lang w:eastAsia="en-US"/>
        </w:rPr>
        <w:t xml:space="preserve"> then they will not be eligible to receive a PHB</w:t>
      </w:r>
    </w:p>
    <w:p w14:paraId="662D6408" w14:textId="78F30253" w:rsidR="00AB76E7" w:rsidRDefault="00AB76E7" w:rsidP="00F47232">
      <w:pPr>
        <w:spacing w:line="240" w:lineRule="auto"/>
        <w:contextualSpacing/>
        <w:rPr>
          <w:rFonts w:cs="Arial"/>
          <w:kern w:val="0"/>
          <w:szCs w:val="22"/>
          <w:highlight w:val="yellow"/>
          <w:lang w:eastAsia="en-US"/>
        </w:rPr>
      </w:pPr>
    </w:p>
    <w:p w14:paraId="76636FE1" w14:textId="77777777" w:rsidR="00197149" w:rsidRPr="00C2457D" w:rsidRDefault="00197149" w:rsidP="00197149">
      <w:pPr>
        <w:spacing w:line="240" w:lineRule="auto"/>
        <w:contextualSpacing/>
        <w:rPr>
          <w:rFonts w:cs="Arial"/>
          <w:kern w:val="0"/>
          <w:szCs w:val="22"/>
          <w:lang w:eastAsia="en-US"/>
        </w:rPr>
      </w:pPr>
      <w:r w:rsidRPr="00C2457D">
        <w:rPr>
          <w:rFonts w:cs="Arial"/>
          <w:kern w:val="0"/>
          <w:szCs w:val="22"/>
          <w:lang w:eastAsia="en-US"/>
        </w:rPr>
        <w:t>If a person moves CCG’s, the commissioning responsibility will be established using the guidance policy “Who Pays? Establishing the Responsible Commissioner” (</w:t>
      </w:r>
      <w:proofErr w:type="spellStart"/>
      <w:r w:rsidRPr="00C2457D">
        <w:rPr>
          <w:rFonts w:cs="Arial"/>
          <w:kern w:val="0"/>
          <w:szCs w:val="22"/>
          <w:lang w:eastAsia="en-US"/>
        </w:rPr>
        <w:t>DoH</w:t>
      </w:r>
      <w:proofErr w:type="spellEnd"/>
      <w:r w:rsidRPr="00C2457D">
        <w:rPr>
          <w:rFonts w:cs="Arial"/>
          <w:kern w:val="0"/>
          <w:szCs w:val="22"/>
          <w:lang w:eastAsia="en-US"/>
        </w:rPr>
        <w:t>)</w:t>
      </w:r>
    </w:p>
    <w:p w14:paraId="5FC7F6EF" w14:textId="77777777" w:rsidR="00AB76E7" w:rsidRPr="00C2457D" w:rsidRDefault="00AB76E7" w:rsidP="00197149">
      <w:pPr>
        <w:spacing w:line="240" w:lineRule="auto"/>
        <w:contextualSpacing/>
        <w:rPr>
          <w:rFonts w:cs="Arial"/>
          <w:kern w:val="0"/>
          <w:szCs w:val="22"/>
          <w:lang w:eastAsia="en-US"/>
        </w:rPr>
      </w:pPr>
    </w:p>
    <w:p w14:paraId="797C848F" w14:textId="77777777" w:rsidR="006C3D47" w:rsidRPr="006C3D47" w:rsidRDefault="00AB76E7" w:rsidP="006C3D47">
      <w:pPr>
        <w:pStyle w:val="CommentText"/>
        <w:rPr>
          <w:rFonts w:cs="Arial"/>
          <w:szCs w:val="22"/>
          <w:lang w:eastAsia="en-US"/>
        </w:rPr>
      </w:pPr>
      <w:r w:rsidRPr="00C2457D">
        <w:rPr>
          <w:rFonts w:cs="Arial"/>
          <w:szCs w:val="22"/>
          <w:lang w:eastAsia="en-US"/>
        </w:rPr>
        <w:t>If equipment purchased through a PHB and is no longer required e.g. if it no longer meets assessed needs, or the individual dies, North East Lincolnshire reserves the right to request the item to be returned.</w:t>
      </w:r>
      <w:r w:rsidR="00FF6669">
        <w:rPr>
          <w:rFonts w:cs="Arial"/>
          <w:szCs w:val="22"/>
          <w:lang w:eastAsia="en-US"/>
        </w:rPr>
        <w:t xml:space="preserve"> </w:t>
      </w:r>
      <w:r w:rsidR="006C3D47">
        <w:rPr>
          <w:rFonts w:cs="Arial"/>
          <w:szCs w:val="22"/>
          <w:lang w:eastAsia="en-US"/>
        </w:rPr>
        <w:t xml:space="preserve"> </w:t>
      </w:r>
      <w:r w:rsidR="006C3D47" w:rsidRPr="006C3D47">
        <w:rPr>
          <w:rFonts w:cs="Arial"/>
          <w:szCs w:val="22"/>
          <w:lang w:eastAsia="en-US"/>
        </w:rPr>
        <w:t>However people requiring equipment will follow the referral process e.g. occupational health or physiotherapy and may require equipment to be authorised by the CCG’s equipment panel.</w:t>
      </w:r>
    </w:p>
    <w:p w14:paraId="5DAD142B" w14:textId="38FD637F" w:rsidR="002B5A68" w:rsidRDefault="002B5A68" w:rsidP="00CB2144">
      <w:pPr>
        <w:pStyle w:val="Heading1"/>
        <w:jc w:val="left"/>
        <w:rPr>
          <w:lang w:eastAsia="en-US"/>
        </w:rPr>
      </w:pPr>
    </w:p>
    <w:p w14:paraId="53EB94EE" w14:textId="77777777" w:rsidR="00172C11" w:rsidRPr="009256EE" w:rsidRDefault="00C177DB" w:rsidP="00CB2144">
      <w:pPr>
        <w:pStyle w:val="Heading1"/>
        <w:jc w:val="left"/>
        <w:rPr>
          <w:lang w:eastAsia="en-US"/>
        </w:rPr>
      </w:pPr>
      <w:bookmarkStart w:id="11" w:name="_Toc26875375"/>
      <w:r>
        <w:rPr>
          <w:lang w:eastAsia="en-US"/>
        </w:rPr>
        <w:t>8</w:t>
      </w:r>
      <w:r w:rsidR="00CB2144">
        <w:rPr>
          <w:lang w:eastAsia="en-US"/>
        </w:rPr>
        <w:t xml:space="preserve">.  </w:t>
      </w:r>
      <w:r w:rsidR="00172C11" w:rsidRPr="009256EE">
        <w:rPr>
          <w:lang w:eastAsia="en-US"/>
        </w:rPr>
        <w:t>S</w:t>
      </w:r>
      <w:r w:rsidR="00CB2144">
        <w:rPr>
          <w:lang w:eastAsia="en-US"/>
        </w:rPr>
        <w:t>UPPORT PLANNING</w:t>
      </w:r>
      <w:bookmarkEnd w:id="11"/>
      <w:r w:rsidR="00172C11" w:rsidRPr="009256EE">
        <w:rPr>
          <w:lang w:eastAsia="en-US"/>
        </w:rPr>
        <w:br/>
      </w:r>
    </w:p>
    <w:p w14:paraId="0FBD4A1A" w14:textId="77777777" w:rsidR="00172C11" w:rsidRDefault="00172C11" w:rsidP="00CB2144">
      <w:pPr>
        <w:pStyle w:val="NoSpacing"/>
        <w:spacing w:line="240" w:lineRule="auto"/>
        <w:rPr>
          <w:rFonts w:ascii="Arial" w:hAnsi="Arial" w:cs="Arial"/>
        </w:rPr>
      </w:pPr>
      <w:r w:rsidRPr="00CB2144">
        <w:rPr>
          <w:rFonts w:ascii="Arial" w:hAnsi="Arial" w:cs="Arial"/>
        </w:rPr>
        <w:t>At the heart of a personal health budget is a support plan. This document creates an agreement between the local NHS a</w:t>
      </w:r>
      <w:r w:rsidR="00CB2144">
        <w:rPr>
          <w:rFonts w:ascii="Arial" w:hAnsi="Arial" w:cs="Arial"/>
        </w:rPr>
        <w:t>nd the individual that sets out:</w:t>
      </w:r>
    </w:p>
    <w:p w14:paraId="6BD0808A" w14:textId="77777777" w:rsidR="00CB2144" w:rsidRPr="00CB2144" w:rsidRDefault="00CB2144" w:rsidP="00CB2144">
      <w:pPr>
        <w:pStyle w:val="NoSpacing"/>
        <w:spacing w:line="240" w:lineRule="auto"/>
        <w:rPr>
          <w:rFonts w:ascii="Arial" w:hAnsi="Arial" w:cs="Arial"/>
        </w:rPr>
      </w:pPr>
    </w:p>
    <w:p w14:paraId="38E017B5" w14:textId="77777777" w:rsidR="00172C11" w:rsidRPr="00CB2144" w:rsidRDefault="00172C11" w:rsidP="00943F34">
      <w:pPr>
        <w:pStyle w:val="NoSpacing"/>
        <w:numPr>
          <w:ilvl w:val="0"/>
          <w:numId w:val="1"/>
        </w:numPr>
        <w:spacing w:line="240" w:lineRule="auto"/>
        <w:rPr>
          <w:rFonts w:ascii="Arial" w:hAnsi="Arial" w:cs="Arial"/>
        </w:rPr>
      </w:pPr>
      <w:r w:rsidRPr="00CB2144">
        <w:rPr>
          <w:rFonts w:ascii="Arial" w:hAnsi="Arial" w:cs="Arial"/>
        </w:rPr>
        <w:t xml:space="preserve">The person’s health and wellbeing needs. </w:t>
      </w:r>
    </w:p>
    <w:p w14:paraId="07FA520D" w14:textId="77777777" w:rsidR="00172C11" w:rsidRPr="00CB2144" w:rsidRDefault="00172C11" w:rsidP="00943F34">
      <w:pPr>
        <w:pStyle w:val="NoSpacing"/>
        <w:numPr>
          <w:ilvl w:val="0"/>
          <w:numId w:val="1"/>
        </w:numPr>
        <w:spacing w:line="240" w:lineRule="auto"/>
        <w:rPr>
          <w:rFonts w:ascii="Arial" w:hAnsi="Arial" w:cs="Arial"/>
        </w:rPr>
      </w:pPr>
      <w:r w:rsidRPr="00CB2144">
        <w:rPr>
          <w:rFonts w:ascii="Arial" w:hAnsi="Arial" w:cs="Arial"/>
        </w:rPr>
        <w:t xml:space="preserve">The amount of money available to meet those needs. </w:t>
      </w:r>
    </w:p>
    <w:p w14:paraId="292A614A" w14:textId="77777777" w:rsidR="00172C11" w:rsidRDefault="00172C11" w:rsidP="00943F34">
      <w:pPr>
        <w:pStyle w:val="NoSpacing"/>
        <w:numPr>
          <w:ilvl w:val="0"/>
          <w:numId w:val="1"/>
        </w:numPr>
        <w:spacing w:line="240" w:lineRule="auto"/>
        <w:rPr>
          <w:rFonts w:ascii="Arial" w:hAnsi="Arial" w:cs="Arial"/>
        </w:rPr>
      </w:pPr>
      <w:r w:rsidRPr="00CB2144">
        <w:rPr>
          <w:rFonts w:ascii="Arial" w:hAnsi="Arial" w:cs="Arial"/>
        </w:rPr>
        <w:t>Ho</w:t>
      </w:r>
      <w:r w:rsidR="0066724A">
        <w:rPr>
          <w:rFonts w:ascii="Arial" w:hAnsi="Arial" w:cs="Arial"/>
        </w:rPr>
        <w:t xml:space="preserve">w this money will be spent. </w:t>
      </w:r>
    </w:p>
    <w:p w14:paraId="59E31FEF" w14:textId="77777777" w:rsidR="00172C11" w:rsidRPr="009256EE" w:rsidRDefault="00172C11" w:rsidP="00CB2144">
      <w:pPr>
        <w:pStyle w:val="NoSpacing"/>
        <w:spacing w:line="240" w:lineRule="auto"/>
        <w:rPr>
          <w:b/>
        </w:rPr>
      </w:pPr>
    </w:p>
    <w:p w14:paraId="794CFBAC" w14:textId="77777777" w:rsidR="00172C11" w:rsidRPr="00CB2144" w:rsidRDefault="00172C11" w:rsidP="00CB2144">
      <w:pPr>
        <w:pStyle w:val="NoSpacing"/>
        <w:spacing w:line="240" w:lineRule="auto"/>
        <w:rPr>
          <w:rFonts w:ascii="Arial" w:hAnsi="Arial" w:cs="Arial"/>
        </w:rPr>
      </w:pPr>
      <w:r w:rsidRPr="00CB2144">
        <w:rPr>
          <w:rFonts w:ascii="Arial" w:hAnsi="Arial" w:cs="Arial"/>
        </w:rPr>
        <w:t>Prior to support planning the patient must prioritise their needs when identifying outcomes to be met by their personal health budget. Patients may also want to achieve outcomes which address both health and social care needs.</w:t>
      </w:r>
    </w:p>
    <w:p w14:paraId="195FEC40" w14:textId="77777777" w:rsidR="00172C11" w:rsidRPr="00CB2144" w:rsidRDefault="00172C11" w:rsidP="00CB2144">
      <w:pPr>
        <w:pStyle w:val="NoSpacing"/>
        <w:spacing w:line="240" w:lineRule="auto"/>
        <w:rPr>
          <w:rFonts w:ascii="Arial" w:hAnsi="Arial" w:cs="Arial"/>
        </w:rPr>
      </w:pPr>
    </w:p>
    <w:p w14:paraId="0FF702FC" w14:textId="77777777" w:rsidR="00172C11" w:rsidRPr="00CB2144" w:rsidRDefault="00172C11" w:rsidP="00CB2144">
      <w:pPr>
        <w:pStyle w:val="NoSpacing"/>
        <w:spacing w:line="240" w:lineRule="auto"/>
        <w:rPr>
          <w:rFonts w:ascii="Arial" w:hAnsi="Arial" w:cs="Arial"/>
        </w:rPr>
      </w:pPr>
      <w:r w:rsidRPr="00CB2144">
        <w:rPr>
          <w:rFonts w:ascii="Arial" w:hAnsi="Arial" w:cs="Arial"/>
        </w:rPr>
        <w:t xml:space="preserve">“The care planning process focuses on goal setting and outcomes that people want to achieve, including carers, resulting in an overarching single care plan which is owned by the person. The important aspect of this is that the care planning discussion has taken place with an emphasis on goal setting, equal partnership and negotiation and shared decision making.” </w:t>
      </w:r>
    </w:p>
    <w:p w14:paraId="123A25B6" w14:textId="77777777" w:rsidR="00172C11" w:rsidRPr="00CB2144" w:rsidRDefault="00172C11" w:rsidP="00CB2144">
      <w:pPr>
        <w:pStyle w:val="NoSpacing"/>
        <w:spacing w:line="240" w:lineRule="auto"/>
        <w:rPr>
          <w:rFonts w:ascii="Arial" w:hAnsi="Arial" w:cs="Arial"/>
        </w:rPr>
      </w:pPr>
    </w:p>
    <w:p w14:paraId="5BC57861" w14:textId="77777777" w:rsidR="00172C11" w:rsidRDefault="00172C11" w:rsidP="00CB2144">
      <w:pPr>
        <w:pStyle w:val="NoSpacing"/>
        <w:spacing w:line="240" w:lineRule="auto"/>
        <w:rPr>
          <w:rFonts w:ascii="Arial" w:hAnsi="Arial" w:cs="Arial"/>
        </w:rPr>
      </w:pPr>
      <w:r w:rsidRPr="00CB2144">
        <w:rPr>
          <w:rFonts w:ascii="Arial" w:hAnsi="Arial" w:cs="Arial"/>
        </w:rPr>
        <w:t xml:space="preserve">The support planning process will culminate in the production of a support plan which is objective, providing an easy point of reference for both health and social care professionals and budget holders alike. For the budget holder, they can see how they have chosen to meet their identified outcomes and their </w:t>
      </w:r>
      <w:proofErr w:type="gramStart"/>
      <w:r w:rsidRPr="00CB2144">
        <w:rPr>
          <w:rFonts w:ascii="Arial" w:hAnsi="Arial" w:cs="Arial"/>
        </w:rPr>
        <w:t>decision making</w:t>
      </w:r>
      <w:proofErr w:type="gramEnd"/>
      <w:r w:rsidRPr="00CB2144">
        <w:rPr>
          <w:rFonts w:ascii="Arial" w:hAnsi="Arial" w:cs="Arial"/>
        </w:rPr>
        <w:t xml:space="preserve"> process. Staff can examine the rationale behind the patient’s choice; examine whether there are any unmet needs and whether any risk is managed to an acceptable level.</w:t>
      </w:r>
    </w:p>
    <w:p w14:paraId="41A80318" w14:textId="77777777" w:rsidR="0066724A" w:rsidRDefault="0066724A" w:rsidP="00CB2144">
      <w:pPr>
        <w:pStyle w:val="NoSpacing"/>
        <w:spacing w:line="240" w:lineRule="auto"/>
        <w:rPr>
          <w:rFonts w:ascii="Arial" w:hAnsi="Arial" w:cs="Arial"/>
        </w:rPr>
      </w:pPr>
    </w:p>
    <w:p w14:paraId="658B9219" w14:textId="77777777" w:rsidR="0066724A" w:rsidRPr="00CB2144" w:rsidRDefault="0066724A" w:rsidP="00CB2144">
      <w:pPr>
        <w:pStyle w:val="NoSpacing"/>
        <w:spacing w:line="240" w:lineRule="auto"/>
        <w:rPr>
          <w:rFonts w:ascii="Arial" w:hAnsi="Arial" w:cs="Arial"/>
        </w:rPr>
      </w:pPr>
      <w:r w:rsidRPr="00C2457D">
        <w:rPr>
          <w:rFonts w:ascii="Arial" w:hAnsi="Arial" w:cs="Arial"/>
        </w:rPr>
        <w:t xml:space="preserve">NELCCG is committed to promoting individual choice where available, whilst supporting them to manage risk positively, </w:t>
      </w:r>
      <w:proofErr w:type="gramStart"/>
      <w:r w:rsidRPr="00C2457D">
        <w:rPr>
          <w:rFonts w:ascii="Arial" w:hAnsi="Arial" w:cs="Arial"/>
        </w:rPr>
        <w:t>proportionately</w:t>
      </w:r>
      <w:proofErr w:type="gramEnd"/>
      <w:r w:rsidRPr="00C2457D">
        <w:rPr>
          <w:rFonts w:ascii="Arial" w:hAnsi="Arial" w:cs="Arial"/>
        </w:rPr>
        <w:t xml:space="preserve"> and realistically. Health professionals should support and encourage the </w:t>
      </w:r>
      <w:r w:rsidR="009E249A" w:rsidRPr="00C2457D">
        <w:rPr>
          <w:rFonts w:ascii="Arial" w:hAnsi="Arial" w:cs="Arial"/>
        </w:rPr>
        <w:t>individual’s</w:t>
      </w:r>
      <w:r w:rsidRPr="00C2457D">
        <w:rPr>
          <w:rFonts w:ascii="Arial" w:hAnsi="Arial" w:cs="Arial"/>
        </w:rPr>
        <w:t xml:space="preserve"> choice as much as possible, and keep them informed</w:t>
      </w:r>
      <w:r w:rsidR="00D663E1" w:rsidRPr="00C2457D">
        <w:rPr>
          <w:rFonts w:ascii="Arial" w:hAnsi="Arial" w:cs="Arial"/>
        </w:rPr>
        <w:t xml:space="preserve"> in a positive way, of issues associated with those choices and how to take reasonable steps to manage them.</w:t>
      </w:r>
    </w:p>
    <w:p w14:paraId="1CFE48B0" w14:textId="36C70BD9" w:rsidR="002B5A68" w:rsidRDefault="002B5A68" w:rsidP="00962552">
      <w:pPr>
        <w:pStyle w:val="Heading1"/>
        <w:rPr>
          <w:lang w:eastAsia="en-US"/>
        </w:rPr>
      </w:pPr>
    </w:p>
    <w:p w14:paraId="62375A82" w14:textId="77777777" w:rsidR="00172C11" w:rsidRPr="009256EE" w:rsidRDefault="00C177DB" w:rsidP="00962552">
      <w:pPr>
        <w:pStyle w:val="Heading1"/>
        <w:rPr>
          <w:lang w:eastAsia="en-US"/>
        </w:rPr>
      </w:pPr>
      <w:bookmarkStart w:id="12" w:name="_Toc26875376"/>
      <w:r>
        <w:rPr>
          <w:lang w:eastAsia="en-US"/>
        </w:rPr>
        <w:t>9</w:t>
      </w:r>
      <w:r w:rsidR="0068065E">
        <w:rPr>
          <w:lang w:eastAsia="en-US"/>
        </w:rPr>
        <w:t xml:space="preserve">.  </w:t>
      </w:r>
      <w:r w:rsidR="00172C11" w:rsidRPr="009256EE">
        <w:rPr>
          <w:lang w:eastAsia="en-US"/>
        </w:rPr>
        <w:t>G</w:t>
      </w:r>
      <w:r w:rsidR="0068065E">
        <w:rPr>
          <w:lang w:eastAsia="en-US"/>
        </w:rPr>
        <w:t>UIDING PRINCIPLES</w:t>
      </w:r>
      <w:bookmarkEnd w:id="12"/>
    </w:p>
    <w:p w14:paraId="00980D83" w14:textId="77777777" w:rsidR="00172C11" w:rsidRPr="009256EE" w:rsidRDefault="00172C11" w:rsidP="0068065E">
      <w:pPr>
        <w:pStyle w:val="NoSpacing"/>
        <w:spacing w:line="240" w:lineRule="auto"/>
        <w:rPr>
          <w:rFonts w:cs="Arial"/>
          <w:b/>
          <w:kern w:val="0"/>
        </w:rPr>
      </w:pPr>
    </w:p>
    <w:p w14:paraId="644B1DB9" w14:textId="77777777" w:rsidR="00172C11" w:rsidRPr="0068065E" w:rsidRDefault="00172C11" w:rsidP="0068065E">
      <w:pPr>
        <w:pStyle w:val="NoSpacing"/>
        <w:spacing w:line="240" w:lineRule="auto"/>
        <w:rPr>
          <w:rFonts w:ascii="Arial" w:hAnsi="Arial" w:cs="Arial"/>
        </w:rPr>
      </w:pPr>
      <w:r w:rsidRPr="0068065E">
        <w:rPr>
          <w:rFonts w:ascii="Arial" w:hAnsi="Arial" w:cs="Arial"/>
        </w:rPr>
        <w:t xml:space="preserve">The key principles which underpin the support planning process are: </w:t>
      </w:r>
    </w:p>
    <w:p w14:paraId="30C038D2" w14:textId="77777777" w:rsidR="00172C11" w:rsidRPr="009256EE" w:rsidRDefault="00172C11" w:rsidP="00172C11">
      <w:pPr>
        <w:autoSpaceDE w:val="0"/>
        <w:autoSpaceDN w:val="0"/>
        <w:adjustRightInd w:val="0"/>
        <w:spacing w:line="240" w:lineRule="auto"/>
        <w:rPr>
          <w:rFonts w:cs="Arial"/>
          <w:kern w:val="0"/>
          <w:szCs w:val="22"/>
        </w:rPr>
      </w:pPr>
    </w:p>
    <w:p w14:paraId="5950A3D5" w14:textId="77777777" w:rsidR="00172C11" w:rsidRPr="00151B91" w:rsidRDefault="00172C11" w:rsidP="00943F34">
      <w:pPr>
        <w:pStyle w:val="NoSpacing"/>
        <w:numPr>
          <w:ilvl w:val="0"/>
          <w:numId w:val="1"/>
        </w:numPr>
        <w:spacing w:line="240" w:lineRule="auto"/>
        <w:ind w:left="227" w:hanging="227"/>
        <w:rPr>
          <w:rFonts w:ascii="Arial" w:hAnsi="Arial" w:cs="Arial"/>
        </w:rPr>
      </w:pPr>
      <w:r w:rsidRPr="00151B91">
        <w:rPr>
          <w:rFonts w:ascii="Arial" w:hAnsi="Arial" w:cs="Arial"/>
        </w:rPr>
        <w:t xml:space="preserve">All patients eligible for NHS Continuing Healthcare are offered the option of a personal health budget from 1st April 2014. </w:t>
      </w:r>
    </w:p>
    <w:p w14:paraId="05AA1087" w14:textId="77777777" w:rsidR="00172C11" w:rsidRPr="00151B91" w:rsidRDefault="00172C11" w:rsidP="00943F34">
      <w:pPr>
        <w:pStyle w:val="NoSpacing"/>
        <w:numPr>
          <w:ilvl w:val="0"/>
          <w:numId w:val="1"/>
        </w:numPr>
        <w:spacing w:line="240" w:lineRule="auto"/>
        <w:ind w:left="227" w:hanging="227"/>
        <w:rPr>
          <w:rFonts w:ascii="Arial" w:hAnsi="Arial" w:cs="Arial"/>
        </w:rPr>
      </w:pPr>
      <w:r w:rsidRPr="00151B91">
        <w:rPr>
          <w:rFonts w:ascii="Arial" w:hAnsi="Arial" w:cs="Arial"/>
        </w:rPr>
        <w:t xml:space="preserve">During the NHS Continuing Healthcare assessment process, patients will be provided with information about the personal health budgets offer and how this process would apply should they meet the NHS Continuing Healthcare eligibility criteria. </w:t>
      </w:r>
    </w:p>
    <w:p w14:paraId="6848BEF7" w14:textId="77777777" w:rsidR="00172C11" w:rsidRPr="00151B91" w:rsidRDefault="00172C11" w:rsidP="00943F34">
      <w:pPr>
        <w:pStyle w:val="NoSpacing"/>
        <w:numPr>
          <w:ilvl w:val="0"/>
          <w:numId w:val="1"/>
        </w:numPr>
        <w:spacing w:line="240" w:lineRule="auto"/>
        <w:ind w:left="227" w:hanging="227"/>
        <w:rPr>
          <w:rFonts w:ascii="Arial" w:hAnsi="Arial" w:cs="Arial"/>
        </w:rPr>
      </w:pPr>
      <w:r w:rsidRPr="00151B91">
        <w:rPr>
          <w:rFonts w:ascii="Arial" w:hAnsi="Arial" w:cs="Arial"/>
        </w:rPr>
        <w:lastRenderedPageBreak/>
        <w:t xml:space="preserve">All patients eligible for NHS Continuing Healthcare will have their eligibility reviewed in line with the national framework which is normally at 3 months and annually thereafter. </w:t>
      </w:r>
    </w:p>
    <w:p w14:paraId="49D30536" w14:textId="77777777" w:rsidR="00172C11" w:rsidRPr="00151B91" w:rsidRDefault="00172C11" w:rsidP="00943F34">
      <w:pPr>
        <w:pStyle w:val="NoSpacing"/>
        <w:numPr>
          <w:ilvl w:val="0"/>
          <w:numId w:val="1"/>
        </w:numPr>
        <w:spacing w:line="240" w:lineRule="auto"/>
        <w:ind w:left="227" w:hanging="227"/>
        <w:rPr>
          <w:rFonts w:ascii="Arial" w:hAnsi="Arial" w:cs="Arial"/>
        </w:rPr>
      </w:pPr>
      <w:r w:rsidRPr="00151B91">
        <w:rPr>
          <w:rFonts w:ascii="Arial" w:hAnsi="Arial" w:cs="Arial"/>
        </w:rPr>
        <w:t xml:space="preserve">In addition, patients in receipt of a personal health budget will be subject to a financial review to ensure that allocated funding is used as outlined in the support plan and continues to meet their identified needs. This financial review will align with the NHS Continuing Healthcare eligibility review. </w:t>
      </w:r>
    </w:p>
    <w:p w14:paraId="3F7BCFA5" w14:textId="77777777" w:rsidR="00172C11" w:rsidRPr="00151B91" w:rsidRDefault="00172C11" w:rsidP="00943F34">
      <w:pPr>
        <w:pStyle w:val="NoSpacing"/>
        <w:numPr>
          <w:ilvl w:val="0"/>
          <w:numId w:val="1"/>
        </w:numPr>
        <w:spacing w:line="240" w:lineRule="auto"/>
        <w:ind w:left="227" w:hanging="227"/>
        <w:rPr>
          <w:rFonts w:cs="Arial"/>
          <w:kern w:val="0"/>
        </w:rPr>
      </w:pPr>
      <w:r w:rsidRPr="00151B91">
        <w:rPr>
          <w:rFonts w:ascii="Arial" w:hAnsi="Arial" w:cs="Arial"/>
        </w:rPr>
        <w:t xml:space="preserve">The support planning process centres on co-production; the formation of an equal partnership between the patient, </w:t>
      </w:r>
      <w:proofErr w:type="gramStart"/>
      <w:r w:rsidRPr="00151B91">
        <w:rPr>
          <w:rFonts w:ascii="Arial" w:hAnsi="Arial" w:cs="Arial"/>
        </w:rPr>
        <w:t>health</w:t>
      </w:r>
      <w:proofErr w:type="gramEnd"/>
      <w:r w:rsidRPr="00151B91">
        <w:rPr>
          <w:rFonts w:ascii="Arial" w:hAnsi="Arial" w:cs="Arial"/>
        </w:rPr>
        <w:t xml:space="preserve"> and social care professionals.</w:t>
      </w:r>
    </w:p>
    <w:p w14:paraId="0BD9BD6B" w14:textId="77777777" w:rsidR="00151B91" w:rsidRPr="009256EE" w:rsidRDefault="00151B91" w:rsidP="008F1354">
      <w:pPr>
        <w:pStyle w:val="NoSpacing"/>
        <w:spacing w:line="240" w:lineRule="auto"/>
        <w:ind w:left="227"/>
        <w:rPr>
          <w:rFonts w:cs="Arial"/>
          <w:kern w:val="0"/>
        </w:rPr>
      </w:pPr>
    </w:p>
    <w:p w14:paraId="3B44687F" w14:textId="77777777" w:rsidR="00172C11" w:rsidRDefault="00172C11" w:rsidP="008F1354">
      <w:pPr>
        <w:autoSpaceDE w:val="0"/>
        <w:autoSpaceDN w:val="0"/>
        <w:adjustRightInd w:val="0"/>
        <w:spacing w:line="240" w:lineRule="auto"/>
        <w:ind w:left="211"/>
        <w:rPr>
          <w:rFonts w:cs="Arial"/>
          <w:kern w:val="0"/>
          <w:szCs w:val="22"/>
        </w:rPr>
      </w:pPr>
      <w:r w:rsidRPr="009256EE">
        <w:rPr>
          <w:rFonts w:cs="Arial"/>
          <w:kern w:val="0"/>
          <w:szCs w:val="22"/>
        </w:rPr>
        <w:t>“</w:t>
      </w:r>
      <w:r w:rsidRPr="009256EE">
        <w:rPr>
          <w:rFonts w:cs="Arial"/>
          <w:i/>
          <w:kern w:val="0"/>
          <w:szCs w:val="22"/>
        </w:rPr>
        <w:t>Emphasis on co-production, with real benefits of improved patient choice and control can only be realised if the patient has ownership, acting as an equal partner”</w:t>
      </w:r>
      <w:r w:rsidRPr="009256EE">
        <w:rPr>
          <w:rFonts w:cs="Arial"/>
          <w:kern w:val="0"/>
          <w:szCs w:val="22"/>
        </w:rPr>
        <w:t xml:space="preserve"> </w:t>
      </w:r>
    </w:p>
    <w:p w14:paraId="4A699392" w14:textId="77777777" w:rsidR="008F1354" w:rsidRPr="009256EE" w:rsidRDefault="008F1354" w:rsidP="008F1354">
      <w:pPr>
        <w:autoSpaceDE w:val="0"/>
        <w:autoSpaceDN w:val="0"/>
        <w:adjustRightInd w:val="0"/>
        <w:spacing w:line="240" w:lineRule="auto"/>
        <w:ind w:left="211"/>
        <w:rPr>
          <w:rFonts w:cs="Arial"/>
          <w:kern w:val="0"/>
          <w:szCs w:val="22"/>
        </w:rPr>
      </w:pPr>
    </w:p>
    <w:p w14:paraId="4F4F3429" w14:textId="77777777" w:rsidR="00172C11" w:rsidRPr="00151B91" w:rsidRDefault="00172C11" w:rsidP="00943F34">
      <w:pPr>
        <w:pStyle w:val="NoSpacing"/>
        <w:numPr>
          <w:ilvl w:val="0"/>
          <w:numId w:val="1"/>
        </w:numPr>
        <w:spacing w:line="240" w:lineRule="auto"/>
        <w:ind w:left="227" w:hanging="227"/>
        <w:rPr>
          <w:rFonts w:ascii="Arial" w:hAnsi="Arial" w:cs="Arial"/>
        </w:rPr>
      </w:pPr>
      <w:r w:rsidRPr="00151B91">
        <w:rPr>
          <w:rFonts w:ascii="Arial" w:hAnsi="Arial" w:cs="Arial"/>
        </w:rPr>
        <w:t xml:space="preserve">No funding is released until an approved support plan is in place. </w:t>
      </w:r>
    </w:p>
    <w:p w14:paraId="2C90E6DB" w14:textId="77777777" w:rsidR="009256EE" w:rsidRPr="00151B91" w:rsidRDefault="009256EE" w:rsidP="00943F34">
      <w:pPr>
        <w:pStyle w:val="NoSpacing"/>
        <w:numPr>
          <w:ilvl w:val="0"/>
          <w:numId w:val="1"/>
        </w:numPr>
        <w:spacing w:line="240" w:lineRule="auto"/>
        <w:ind w:left="227" w:hanging="227"/>
        <w:rPr>
          <w:rFonts w:ascii="Arial" w:hAnsi="Arial" w:cs="Arial"/>
        </w:rPr>
      </w:pPr>
      <w:r w:rsidRPr="00151B91">
        <w:rPr>
          <w:rFonts w:ascii="Arial" w:hAnsi="Arial" w:cs="Arial"/>
        </w:rPr>
        <w:t>The support plan will identify need and associated cost and may be subject to increase or decrease in the level of funding.</w:t>
      </w:r>
    </w:p>
    <w:p w14:paraId="4DF530DB" w14:textId="77777777" w:rsidR="00172C11" w:rsidRPr="00151B91" w:rsidRDefault="00172C11" w:rsidP="00943F34">
      <w:pPr>
        <w:pStyle w:val="NoSpacing"/>
        <w:numPr>
          <w:ilvl w:val="0"/>
          <w:numId w:val="1"/>
        </w:numPr>
        <w:spacing w:line="240" w:lineRule="auto"/>
        <w:ind w:left="227" w:hanging="227"/>
        <w:rPr>
          <w:rFonts w:ascii="Arial" w:hAnsi="Arial" w:cs="Arial"/>
        </w:rPr>
      </w:pPr>
      <w:r w:rsidRPr="00151B91">
        <w:rPr>
          <w:rFonts w:ascii="Arial" w:hAnsi="Arial" w:cs="Arial"/>
        </w:rPr>
        <w:t xml:space="preserve">The patient will have access to full and transparent information, </w:t>
      </w:r>
      <w:proofErr w:type="gramStart"/>
      <w:r w:rsidRPr="00151B91">
        <w:rPr>
          <w:rFonts w:ascii="Arial" w:hAnsi="Arial" w:cs="Arial"/>
        </w:rPr>
        <w:t>advice</w:t>
      </w:r>
      <w:proofErr w:type="gramEnd"/>
      <w:r w:rsidRPr="00151B91">
        <w:rPr>
          <w:rFonts w:ascii="Arial" w:hAnsi="Arial" w:cs="Arial"/>
        </w:rPr>
        <w:t xml:space="preserve"> and services. This can range from understanding of the total allocation assigned to their budget, through to tasks involved in acting as an employer. </w:t>
      </w:r>
    </w:p>
    <w:p w14:paraId="52601E78" w14:textId="77777777" w:rsidR="00172C11" w:rsidRPr="00151B91" w:rsidRDefault="00172C11" w:rsidP="00943F34">
      <w:pPr>
        <w:pStyle w:val="NoSpacing"/>
        <w:numPr>
          <w:ilvl w:val="0"/>
          <w:numId w:val="1"/>
        </w:numPr>
        <w:spacing w:line="240" w:lineRule="auto"/>
        <w:ind w:left="227" w:hanging="227"/>
        <w:rPr>
          <w:rFonts w:ascii="Arial" w:hAnsi="Arial" w:cs="Arial"/>
        </w:rPr>
      </w:pPr>
      <w:r w:rsidRPr="00151B91">
        <w:rPr>
          <w:rFonts w:ascii="Arial" w:hAnsi="Arial" w:cs="Arial"/>
        </w:rPr>
        <w:t xml:space="preserve">Roles are clearly defined, namely the patient leads discussion, production of outcomes and goals, supported when he/she feels necessary. The health and social care professional(s) will assist in discussion, signposting and suggesting ways to address needs, the examination of unmet needs and ensuring that risk is managed to a level acceptable to both clinicians and to the patient. (2) </w:t>
      </w:r>
    </w:p>
    <w:p w14:paraId="4C7DC46C" w14:textId="77777777" w:rsidR="00172C11" w:rsidRPr="00151B91" w:rsidRDefault="00172C11" w:rsidP="00943F34">
      <w:pPr>
        <w:pStyle w:val="NoSpacing"/>
        <w:numPr>
          <w:ilvl w:val="0"/>
          <w:numId w:val="1"/>
        </w:numPr>
        <w:spacing w:line="240" w:lineRule="auto"/>
        <w:ind w:left="227" w:hanging="227"/>
        <w:rPr>
          <w:rFonts w:ascii="Arial" w:hAnsi="Arial" w:cs="Arial"/>
        </w:rPr>
      </w:pPr>
      <w:r w:rsidRPr="00151B91">
        <w:rPr>
          <w:rFonts w:ascii="Arial" w:hAnsi="Arial" w:cs="Arial"/>
        </w:rPr>
        <w:t xml:space="preserve">Patient innovation is vital. As an alternative to traditional care packages, personal health budgets afford individuals the opportunity to examine cost effective methods of addressing their needs which would otherwise be unavailable. The national pilot evaluation found that imposing additional restrictions on top of national guidance had a significant negative effect. </w:t>
      </w:r>
    </w:p>
    <w:p w14:paraId="0FE5537B" w14:textId="77777777" w:rsidR="00172C11" w:rsidRPr="00151B91" w:rsidRDefault="00172C11" w:rsidP="00943F34">
      <w:pPr>
        <w:pStyle w:val="NoSpacing"/>
        <w:numPr>
          <w:ilvl w:val="0"/>
          <w:numId w:val="1"/>
        </w:numPr>
        <w:spacing w:line="240" w:lineRule="auto"/>
        <w:ind w:left="227" w:hanging="227"/>
        <w:rPr>
          <w:rFonts w:ascii="Arial" w:hAnsi="Arial" w:cs="Arial"/>
        </w:rPr>
      </w:pPr>
      <w:r w:rsidRPr="00151B91">
        <w:rPr>
          <w:rFonts w:ascii="Arial" w:hAnsi="Arial" w:cs="Arial"/>
        </w:rPr>
        <w:t xml:space="preserve">A clear distinction is drawn between putting a person at risk and enabling them to manage risks appropriately. </w:t>
      </w:r>
    </w:p>
    <w:p w14:paraId="6BC04CE7" w14:textId="77777777" w:rsidR="00172C11" w:rsidRDefault="00172C11" w:rsidP="00943F34">
      <w:pPr>
        <w:pStyle w:val="NoSpacing"/>
        <w:numPr>
          <w:ilvl w:val="0"/>
          <w:numId w:val="1"/>
        </w:numPr>
        <w:spacing w:line="240" w:lineRule="auto"/>
        <w:ind w:left="227" w:hanging="227"/>
        <w:rPr>
          <w:rFonts w:ascii="Arial" w:hAnsi="Arial" w:cs="Arial"/>
        </w:rPr>
      </w:pPr>
      <w:r w:rsidRPr="00151B91">
        <w:rPr>
          <w:rFonts w:ascii="Arial" w:hAnsi="Arial" w:cs="Arial"/>
        </w:rPr>
        <w:t xml:space="preserve">A functioning market needs to exist where individuals can directly or with support, purchase services that they need/want. The market may involve providers from the statutory sector, the voluntary sector, social </w:t>
      </w:r>
      <w:proofErr w:type="gramStart"/>
      <w:r w:rsidRPr="00151B91">
        <w:rPr>
          <w:rFonts w:ascii="Arial" w:hAnsi="Arial" w:cs="Arial"/>
        </w:rPr>
        <w:t>enterprises</w:t>
      </w:r>
      <w:proofErr w:type="gramEnd"/>
      <w:r w:rsidRPr="00151B91">
        <w:rPr>
          <w:rFonts w:ascii="Arial" w:hAnsi="Arial" w:cs="Arial"/>
        </w:rPr>
        <w:t xml:space="preserve"> and the private sector.</w:t>
      </w:r>
    </w:p>
    <w:p w14:paraId="4B53351A" w14:textId="77777777" w:rsidR="00D663E1" w:rsidRPr="00C2457D" w:rsidRDefault="00D663E1" w:rsidP="00943F34">
      <w:pPr>
        <w:pStyle w:val="NoSpacing"/>
        <w:numPr>
          <w:ilvl w:val="0"/>
          <w:numId w:val="1"/>
        </w:numPr>
        <w:spacing w:line="240" w:lineRule="auto"/>
        <w:ind w:left="227" w:hanging="227"/>
        <w:rPr>
          <w:rFonts w:ascii="Arial" w:hAnsi="Arial" w:cs="Arial"/>
        </w:rPr>
      </w:pPr>
      <w:r w:rsidRPr="00C2457D">
        <w:rPr>
          <w:rFonts w:ascii="Arial" w:hAnsi="Arial" w:cs="Arial"/>
        </w:rPr>
        <w:t>A PHB will not procure/support funding for services already commissioned by NELCCG</w:t>
      </w:r>
    </w:p>
    <w:p w14:paraId="5228F199" w14:textId="77777777" w:rsidR="00AB76E7" w:rsidRPr="00C2457D" w:rsidRDefault="00AB76E7" w:rsidP="00943F34">
      <w:pPr>
        <w:pStyle w:val="NoSpacing"/>
        <w:numPr>
          <w:ilvl w:val="0"/>
          <w:numId w:val="1"/>
        </w:numPr>
        <w:spacing w:line="240" w:lineRule="auto"/>
        <w:ind w:left="227" w:hanging="227"/>
        <w:rPr>
          <w:rFonts w:ascii="Arial" w:hAnsi="Arial" w:cs="Arial"/>
        </w:rPr>
      </w:pPr>
      <w:r w:rsidRPr="00C2457D">
        <w:rPr>
          <w:rFonts w:ascii="Arial" w:hAnsi="Arial" w:cs="Arial"/>
        </w:rPr>
        <w:t>There is no formal entitlement to holiday funding within a PHB, but for those individuals who do not benefit from carers respite, the CCG acknowledges that there may be additional staffing and/or equipment costs to support someone away from their home in an environment which may not be suitably adapted.</w:t>
      </w:r>
    </w:p>
    <w:p w14:paraId="07C95B8B" w14:textId="77777777" w:rsidR="00AB76E7" w:rsidRPr="00C2457D" w:rsidRDefault="00657963" w:rsidP="00943F34">
      <w:pPr>
        <w:pStyle w:val="NoSpacing"/>
        <w:numPr>
          <w:ilvl w:val="0"/>
          <w:numId w:val="1"/>
        </w:numPr>
        <w:spacing w:line="240" w:lineRule="auto"/>
        <w:ind w:left="227" w:hanging="227"/>
        <w:rPr>
          <w:rFonts w:ascii="Arial" w:hAnsi="Arial" w:cs="Arial"/>
        </w:rPr>
      </w:pPr>
      <w:r>
        <w:rPr>
          <w:rFonts w:ascii="Arial" w:hAnsi="Arial" w:cs="Arial"/>
        </w:rPr>
        <w:t>The CCG</w:t>
      </w:r>
      <w:r w:rsidR="00AB76E7" w:rsidRPr="00C2457D">
        <w:rPr>
          <w:rFonts w:ascii="Arial" w:hAnsi="Arial" w:cs="Arial"/>
        </w:rPr>
        <w:t xml:space="preserve"> will consider funding up to 14 days support and appropriate </w:t>
      </w:r>
      <w:r w:rsidR="00C7470A" w:rsidRPr="00C2457D">
        <w:rPr>
          <w:rFonts w:ascii="Arial" w:hAnsi="Arial" w:cs="Arial"/>
        </w:rPr>
        <w:t>equipment</w:t>
      </w:r>
      <w:r w:rsidR="00AB76E7" w:rsidRPr="00C2457D">
        <w:rPr>
          <w:rFonts w:ascii="Arial" w:hAnsi="Arial" w:cs="Arial"/>
        </w:rPr>
        <w:t xml:space="preserve"> hire to enable a holiday or break to take place. Any additional cost must be approved by the CCG prior to any holiday being booked. The CCG reserves the right to refuse to fund </w:t>
      </w:r>
      <w:r w:rsidR="00C7470A" w:rsidRPr="00C2457D">
        <w:rPr>
          <w:rFonts w:ascii="Arial" w:hAnsi="Arial" w:cs="Arial"/>
        </w:rPr>
        <w:t xml:space="preserve">support or equipment over and above that required to meet assessed need. The PHB will not cover PA travel, meals, </w:t>
      </w:r>
      <w:proofErr w:type="gramStart"/>
      <w:r w:rsidR="00C7470A" w:rsidRPr="00C2457D">
        <w:rPr>
          <w:rFonts w:ascii="Arial" w:hAnsi="Arial" w:cs="Arial"/>
        </w:rPr>
        <w:t>accommodation</w:t>
      </w:r>
      <w:proofErr w:type="gramEnd"/>
      <w:r w:rsidR="00C7470A" w:rsidRPr="00C2457D">
        <w:rPr>
          <w:rFonts w:ascii="Arial" w:hAnsi="Arial" w:cs="Arial"/>
        </w:rPr>
        <w:t xml:space="preserve"> or anything not related to the agreed support plan.</w:t>
      </w:r>
    </w:p>
    <w:p w14:paraId="52C9989F" w14:textId="77777777" w:rsidR="00C7470A" w:rsidRPr="00C2457D" w:rsidRDefault="00C7470A" w:rsidP="00943F34">
      <w:pPr>
        <w:pStyle w:val="NoSpacing"/>
        <w:numPr>
          <w:ilvl w:val="0"/>
          <w:numId w:val="1"/>
        </w:numPr>
        <w:spacing w:line="240" w:lineRule="auto"/>
        <w:ind w:left="227" w:hanging="227"/>
        <w:rPr>
          <w:rFonts w:ascii="Arial" w:hAnsi="Arial" w:cs="Arial"/>
        </w:rPr>
      </w:pPr>
      <w:r w:rsidRPr="00C2457D">
        <w:rPr>
          <w:rFonts w:ascii="Arial" w:hAnsi="Arial" w:cs="Arial"/>
        </w:rPr>
        <w:t>Any other breaks or additional costs the individual/representative/nominated person must ensure they are insured to travel. The PHB cannot be used to pay for these insurances. It is the responsibility of the individual to fund this.</w:t>
      </w:r>
    </w:p>
    <w:p w14:paraId="1AF0DD49" w14:textId="77777777" w:rsidR="00C7470A" w:rsidRPr="00C2457D" w:rsidRDefault="00C7470A" w:rsidP="00943F34">
      <w:pPr>
        <w:pStyle w:val="NoSpacing"/>
        <w:numPr>
          <w:ilvl w:val="0"/>
          <w:numId w:val="1"/>
        </w:numPr>
        <w:spacing w:line="240" w:lineRule="auto"/>
        <w:ind w:left="227" w:hanging="227"/>
        <w:rPr>
          <w:rFonts w:ascii="Arial" w:hAnsi="Arial" w:cs="Arial"/>
        </w:rPr>
      </w:pPr>
      <w:r w:rsidRPr="00C2457D">
        <w:rPr>
          <w:rFonts w:ascii="Arial" w:hAnsi="Arial" w:cs="Arial"/>
        </w:rPr>
        <w:t xml:space="preserve">Funding for travel and mileage-a PHB can cover travel costs in some circumstances such as bus fares but only for activities documented in the support plan </w:t>
      </w:r>
    </w:p>
    <w:p w14:paraId="256604F9" w14:textId="77777777" w:rsidR="00C7470A" w:rsidRPr="00C2457D" w:rsidRDefault="00C7470A" w:rsidP="00C7470A">
      <w:pPr>
        <w:pStyle w:val="NoSpacing"/>
        <w:spacing w:line="240" w:lineRule="auto"/>
        <w:rPr>
          <w:rFonts w:ascii="Arial" w:hAnsi="Arial" w:cs="Arial"/>
        </w:rPr>
      </w:pPr>
    </w:p>
    <w:p w14:paraId="55D99AEC" w14:textId="77777777" w:rsidR="00C7470A" w:rsidRPr="00C2457D" w:rsidRDefault="00314236" w:rsidP="00C7470A">
      <w:pPr>
        <w:pStyle w:val="NoSpacing"/>
        <w:spacing w:line="240" w:lineRule="auto"/>
        <w:rPr>
          <w:rFonts w:ascii="Arial" w:hAnsi="Arial" w:cs="Arial"/>
        </w:rPr>
      </w:pPr>
      <w:r w:rsidRPr="00C2457D">
        <w:rPr>
          <w:rFonts w:ascii="Arial" w:hAnsi="Arial" w:cs="Arial"/>
        </w:rPr>
        <w:t>Personal assistants (PA</w:t>
      </w:r>
      <w:r w:rsidR="00983741" w:rsidRPr="00C2457D">
        <w:rPr>
          <w:rFonts w:ascii="Arial" w:hAnsi="Arial" w:cs="Arial"/>
        </w:rPr>
        <w:t>s), any individual wishing to employ a PA must ensure a DBS (disclosure and baring service) check is undertaken excluding family members.</w:t>
      </w:r>
    </w:p>
    <w:p w14:paraId="1819411B" w14:textId="6AA74197" w:rsidR="00983741" w:rsidRDefault="00983741" w:rsidP="00C7470A">
      <w:pPr>
        <w:pStyle w:val="NoSpacing"/>
        <w:spacing w:line="240" w:lineRule="auto"/>
        <w:rPr>
          <w:rFonts w:ascii="Arial" w:hAnsi="Arial" w:cs="Arial"/>
        </w:rPr>
      </w:pPr>
    </w:p>
    <w:p w14:paraId="2D8C2A21" w14:textId="526302D5" w:rsidR="006C3D47" w:rsidRDefault="006C3D47" w:rsidP="00C7470A">
      <w:pPr>
        <w:pStyle w:val="NoSpacing"/>
        <w:spacing w:line="240" w:lineRule="auto"/>
        <w:rPr>
          <w:rFonts w:ascii="Arial" w:hAnsi="Arial" w:cs="Arial"/>
        </w:rPr>
      </w:pPr>
    </w:p>
    <w:p w14:paraId="3B708D3B" w14:textId="570F5723" w:rsidR="006C3D47" w:rsidRDefault="006C3D47" w:rsidP="00C7470A">
      <w:pPr>
        <w:pStyle w:val="NoSpacing"/>
        <w:spacing w:line="240" w:lineRule="auto"/>
        <w:rPr>
          <w:rFonts w:ascii="Arial" w:hAnsi="Arial" w:cs="Arial"/>
        </w:rPr>
      </w:pPr>
    </w:p>
    <w:p w14:paraId="028EB9C7" w14:textId="6A901BA0" w:rsidR="006C3D47" w:rsidRDefault="006C3D47" w:rsidP="00C7470A">
      <w:pPr>
        <w:pStyle w:val="NoSpacing"/>
        <w:spacing w:line="240" w:lineRule="auto"/>
        <w:rPr>
          <w:rFonts w:ascii="Arial" w:hAnsi="Arial" w:cs="Arial"/>
        </w:rPr>
      </w:pPr>
    </w:p>
    <w:p w14:paraId="3580C01D" w14:textId="22FC76EC" w:rsidR="006C3D47" w:rsidRDefault="006C3D47" w:rsidP="00C7470A">
      <w:pPr>
        <w:pStyle w:val="NoSpacing"/>
        <w:spacing w:line="240" w:lineRule="auto"/>
        <w:rPr>
          <w:rFonts w:ascii="Arial" w:hAnsi="Arial" w:cs="Arial"/>
        </w:rPr>
      </w:pPr>
    </w:p>
    <w:p w14:paraId="4A6B02FE" w14:textId="77777777" w:rsidR="006C3D47" w:rsidRPr="00C2457D" w:rsidRDefault="006C3D47" w:rsidP="00C7470A">
      <w:pPr>
        <w:pStyle w:val="NoSpacing"/>
        <w:spacing w:line="240" w:lineRule="auto"/>
        <w:rPr>
          <w:rFonts w:ascii="Arial" w:hAnsi="Arial" w:cs="Arial"/>
        </w:rPr>
      </w:pPr>
    </w:p>
    <w:p w14:paraId="1BE35578" w14:textId="77777777" w:rsidR="00983741" w:rsidRPr="00C2457D" w:rsidRDefault="00314236" w:rsidP="00C7470A">
      <w:pPr>
        <w:pStyle w:val="NoSpacing"/>
        <w:spacing w:line="240" w:lineRule="auto"/>
        <w:rPr>
          <w:rFonts w:ascii="Arial" w:hAnsi="Arial" w:cs="Arial"/>
          <w:b/>
        </w:rPr>
      </w:pPr>
      <w:r w:rsidRPr="00C2457D">
        <w:rPr>
          <w:rFonts w:ascii="Arial" w:hAnsi="Arial" w:cs="Arial"/>
          <w:b/>
        </w:rPr>
        <w:lastRenderedPageBreak/>
        <w:t>Employing family members</w:t>
      </w:r>
    </w:p>
    <w:p w14:paraId="7B5299F5" w14:textId="77777777" w:rsidR="00314236" w:rsidRDefault="00314236" w:rsidP="00C7470A">
      <w:pPr>
        <w:pStyle w:val="NoSpacing"/>
        <w:spacing w:line="240" w:lineRule="auto"/>
        <w:rPr>
          <w:rFonts w:ascii="Arial" w:hAnsi="Arial" w:cs="Arial"/>
          <w:highlight w:val="yellow"/>
        </w:rPr>
      </w:pPr>
    </w:p>
    <w:p w14:paraId="2AE94324" w14:textId="77777777" w:rsidR="00983741" w:rsidRPr="00C2457D" w:rsidRDefault="00983741" w:rsidP="00C7470A">
      <w:pPr>
        <w:pStyle w:val="NoSpacing"/>
        <w:spacing w:line="240" w:lineRule="auto"/>
        <w:rPr>
          <w:rFonts w:ascii="Arial" w:hAnsi="Arial" w:cs="Arial"/>
        </w:rPr>
      </w:pPr>
      <w:r w:rsidRPr="00C2457D">
        <w:rPr>
          <w:rFonts w:ascii="Arial" w:hAnsi="Arial" w:cs="Arial"/>
        </w:rPr>
        <w:t>The NHS Direct Payments regulations states:</w:t>
      </w:r>
    </w:p>
    <w:p w14:paraId="51C18EB9" w14:textId="77777777" w:rsidR="00314236" w:rsidRPr="00C2457D" w:rsidRDefault="00314236" w:rsidP="00C7470A">
      <w:pPr>
        <w:pStyle w:val="NoSpacing"/>
        <w:spacing w:line="240" w:lineRule="auto"/>
        <w:rPr>
          <w:rFonts w:ascii="Arial" w:hAnsi="Arial" w:cs="Arial"/>
        </w:rPr>
      </w:pPr>
    </w:p>
    <w:p w14:paraId="098D3676" w14:textId="77777777" w:rsidR="00983741" w:rsidRPr="00C2457D" w:rsidRDefault="00983741" w:rsidP="00C7470A">
      <w:pPr>
        <w:pStyle w:val="NoSpacing"/>
        <w:spacing w:line="240" w:lineRule="auto"/>
        <w:rPr>
          <w:rFonts w:ascii="Arial" w:hAnsi="Arial" w:cs="Arial"/>
        </w:rPr>
      </w:pPr>
      <w:r w:rsidRPr="00C2457D">
        <w:rPr>
          <w:rFonts w:ascii="Arial" w:hAnsi="Arial" w:cs="Arial"/>
        </w:rPr>
        <w:t xml:space="preserve">“A direct payment can only be used to pay an individual living in the same household, a close family member or a friend if the CCG is satisfied that to secure a service from the person is necessary </w:t>
      </w:r>
      <w:proofErr w:type="gramStart"/>
      <w:r w:rsidRPr="00C2457D">
        <w:rPr>
          <w:rFonts w:ascii="Arial" w:hAnsi="Arial" w:cs="Arial"/>
        </w:rPr>
        <w:t>in order to</w:t>
      </w:r>
      <w:proofErr w:type="gramEnd"/>
      <w:r w:rsidRPr="00C2457D">
        <w:rPr>
          <w:rFonts w:ascii="Arial" w:hAnsi="Arial" w:cs="Arial"/>
        </w:rPr>
        <w:t xml:space="preserve"> satisfactorily meet the person receiving care’s need for that service; or promote the welfare of a child for whom direct payments are being made. The CCG’s will need to make the</w:t>
      </w:r>
      <w:r w:rsidR="00135009" w:rsidRPr="00C2457D">
        <w:rPr>
          <w:rFonts w:ascii="Arial" w:hAnsi="Arial" w:cs="Arial"/>
        </w:rPr>
        <w:t xml:space="preserve">se judgements on a </w:t>
      </w:r>
      <w:proofErr w:type="gramStart"/>
      <w:r w:rsidR="00135009" w:rsidRPr="00C2457D">
        <w:rPr>
          <w:rFonts w:ascii="Arial" w:hAnsi="Arial" w:cs="Arial"/>
        </w:rPr>
        <w:t>case by case</w:t>
      </w:r>
      <w:proofErr w:type="gramEnd"/>
      <w:r w:rsidRPr="00C2457D">
        <w:rPr>
          <w:rFonts w:ascii="Arial" w:hAnsi="Arial" w:cs="Arial"/>
        </w:rPr>
        <w:t xml:space="preserve"> basis”</w:t>
      </w:r>
    </w:p>
    <w:p w14:paraId="096F0BE3" w14:textId="77777777" w:rsidR="00983741" w:rsidRPr="00C2457D" w:rsidRDefault="00983741" w:rsidP="00C7470A">
      <w:pPr>
        <w:pStyle w:val="NoSpacing"/>
        <w:spacing w:line="240" w:lineRule="auto"/>
        <w:rPr>
          <w:rFonts w:ascii="Arial" w:hAnsi="Arial" w:cs="Arial"/>
        </w:rPr>
      </w:pPr>
    </w:p>
    <w:p w14:paraId="0427ADBA" w14:textId="77777777" w:rsidR="00983741" w:rsidRPr="00D663E1" w:rsidRDefault="00983741" w:rsidP="00C7470A">
      <w:pPr>
        <w:pStyle w:val="NoSpacing"/>
        <w:spacing w:line="240" w:lineRule="auto"/>
        <w:rPr>
          <w:rFonts w:ascii="Arial" w:hAnsi="Arial" w:cs="Arial"/>
          <w:highlight w:val="yellow"/>
        </w:rPr>
      </w:pPr>
      <w:r w:rsidRPr="00C2457D">
        <w:rPr>
          <w:rFonts w:ascii="Arial" w:hAnsi="Arial" w:cs="Arial"/>
        </w:rPr>
        <w:t xml:space="preserve">This is most </w:t>
      </w:r>
      <w:r w:rsidR="00135009" w:rsidRPr="00C2457D">
        <w:rPr>
          <w:rFonts w:ascii="Arial" w:hAnsi="Arial" w:cs="Arial"/>
        </w:rPr>
        <w:t>likely</w:t>
      </w:r>
      <w:r w:rsidRPr="00C2457D">
        <w:rPr>
          <w:rFonts w:ascii="Arial" w:hAnsi="Arial" w:cs="Arial"/>
        </w:rPr>
        <w:t xml:space="preserve"> to arise where needs are very </w:t>
      </w:r>
      <w:proofErr w:type="gramStart"/>
      <w:r w:rsidRPr="00C2457D">
        <w:rPr>
          <w:rFonts w:ascii="Arial" w:hAnsi="Arial" w:cs="Arial"/>
        </w:rPr>
        <w:t>complex</w:t>
      </w:r>
      <w:proofErr w:type="gramEnd"/>
      <w:r w:rsidRPr="00C2457D">
        <w:rPr>
          <w:rFonts w:ascii="Arial" w:hAnsi="Arial" w:cs="Arial"/>
        </w:rPr>
        <w:t xml:space="preserve"> and the family member is familiar with the tasks and associated risks to manage all aspects of the individuals care needs.</w:t>
      </w:r>
      <w:r w:rsidR="00314236" w:rsidRPr="00C2457D">
        <w:rPr>
          <w:rFonts w:ascii="Arial" w:hAnsi="Arial" w:cs="Arial"/>
        </w:rPr>
        <w:t xml:space="preserve">  </w:t>
      </w:r>
      <w:r w:rsidRPr="00C2457D">
        <w:rPr>
          <w:rFonts w:ascii="Arial" w:hAnsi="Arial" w:cs="Arial"/>
        </w:rPr>
        <w:t>The individual must provide a reason why that person is chosen or preferred to be employed. They will also need to consider the impact on the employee</w:t>
      </w:r>
      <w:r w:rsidR="00135009" w:rsidRPr="00C2457D">
        <w:rPr>
          <w:rFonts w:ascii="Arial" w:hAnsi="Arial" w:cs="Arial"/>
        </w:rPr>
        <w:t xml:space="preserve"> such as possible loss of carer allowance and potential emotional strain.</w:t>
      </w:r>
      <w:r w:rsidRPr="00C2457D">
        <w:rPr>
          <w:rFonts w:ascii="Arial" w:hAnsi="Arial" w:cs="Arial"/>
        </w:rPr>
        <w:t xml:space="preserve"> </w:t>
      </w:r>
      <w:r w:rsidR="00135009" w:rsidRPr="00C2457D">
        <w:rPr>
          <w:rFonts w:ascii="Arial" w:hAnsi="Arial" w:cs="Arial"/>
        </w:rPr>
        <w:t>The individual will need to demonstrate they understand this and look at ways to mitigate this happening.</w:t>
      </w:r>
    </w:p>
    <w:p w14:paraId="01407D22" w14:textId="77777777" w:rsidR="009256EE" w:rsidRPr="00151B91" w:rsidRDefault="009256EE" w:rsidP="00151B91">
      <w:pPr>
        <w:pStyle w:val="NoSpacing"/>
        <w:spacing w:line="240" w:lineRule="auto"/>
        <w:rPr>
          <w:rFonts w:ascii="Arial" w:hAnsi="Arial" w:cs="Arial"/>
          <w:kern w:val="0"/>
        </w:rPr>
      </w:pPr>
    </w:p>
    <w:p w14:paraId="220D3C8C" w14:textId="77777777" w:rsidR="009256EE" w:rsidRPr="009256EE" w:rsidRDefault="009256EE" w:rsidP="009256EE">
      <w:pPr>
        <w:autoSpaceDE w:val="0"/>
        <w:autoSpaceDN w:val="0"/>
        <w:adjustRightInd w:val="0"/>
        <w:spacing w:line="240" w:lineRule="auto"/>
        <w:jc w:val="left"/>
        <w:rPr>
          <w:rFonts w:cs="Arial"/>
          <w:b/>
          <w:kern w:val="0"/>
          <w:szCs w:val="22"/>
        </w:rPr>
      </w:pPr>
      <w:r>
        <w:rPr>
          <w:rFonts w:cs="Arial"/>
          <w:b/>
          <w:kern w:val="0"/>
          <w:szCs w:val="22"/>
        </w:rPr>
        <w:t>It is important to note that once an individual is in receipt of a PHB this is subject to regular review and as such there may be changes to the budget/cost allocated.</w:t>
      </w:r>
    </w:p>
    <w:p w14:paraId="70D88D5E" w14:textId="77777777" w:rsidR="00172C11" w:rsidRPr="00151B91" w:rsidRDefault="00172C11" w:rsidP="00151B91">
      <w:pPr>
        <w:autoSpaceDE w:val="0"/>
        <w:autoSpaceDN w:val="0"/>
        <w:adjustRightInd w:val="0"/>
        <w:spacing w:line="240" w:lineRule="auto"/>
        <w:ind w:left="426"/>
        <w:rPr>
          <w:rFonts w:cs="Arial"/>
          <w:kern w:val="0"/>
          <w:szCs w:val="22"/>
        </w:rPr>
      </w:pPr>
    </w:p>
    <w:p w14:paraId="3EB43191" w14:textId="77777777" w:rsidR="00172C11" w:rsidRPr="00151B91" w:rsidRDefault="00172C11" w:rsidP="00151B91">
      <w:pPr>
        <w:pStyle w:val="NoSpacing"/>
        <w:spacing w:line="240" w:lineRule="auto"/>
        <w:rPr>
          <w:rFonts w:ascii="Arial" w:hAnsi="Arial" w:cs="Arial"/>
        </w:rPr>
      </w:pPr>
      <w:r w:rsidRPr="00151B91">
        <w:rPr>
          <w:rFonts w:ascii="Arial" w:hAnsi="Arial" w:cs="Arial"/>
        </w:rPr>
        <w:t xml:space="preserve">A key recommendation associated with the personal health budget evaluation was: </w:t>
      </w:r>
      <w:r w:rsidRPr="00151B91">
        <w:rPr>
          <w:rFonts w:ascii="Arial" w:hAnsi="Arial" w:cs="Arial"/>
          <w:b/>
        </w:rPr>
        <w:t>“Greater clarity is needed regarding what types of services and support people can secure with their personal health budget”.</w:t>
      </w:r>
      <w:r w:rsidR="00D663E1">
        <w:rPr>
          <w:rFonts w:ascii="Arial" w:hAnsi="Arial" w:cs="Arial"/>
        </w:rPr>
        <w:t xml:space="preserve"> </w:t>
      </w:r>
      <w:r w:rsidR="00151B91">
        <w:rPr>
          <w:rFonts w:ascii="Arial" w:hAnsi="Arial" w:cs="Arial"/>
        </w:rPr>
        <w:t xml:space="preserve"> </w:t>
      </w:r>
      <w:r w:rsidRPr="00151B91">
        <w:rPr>
          <w:rFonts w:ascii="Arial" w:hAnsi="Arial" w:cs="Arial"/>
        </w:rPr>
        <w:t xml:space="preserve">With this in mind particular attention needs to be paid to the remit of the budget from an early stage, national guidance on exclusions and allowing the patient to lead discussion. </w:t>
      </w:r>
    </w:p>
    <w:p w14:paraId="6BCE50EF" w14:textId="1556D8BB" w:rsidR="002B5A68" w:rsidRPr="00151B91" w:rsidRDefault="002B5A68" w:rsidP="00151B91">
      <w:pPr>
        <w:pStyle w:val="NoSpacing"/>
        <w:spacing w:line="240" w:lineRule="auto"/>
        <w:rPr>
          <w:rFonts w:ascii="Arial" w:hAnsi="Arial" w:cs="Arial"/>
        </w:rPr>
      </w:pPr>
    </w:p>
    <w:p w14:paraId="6503C4B4" w14:textId="77777777" w:rsidR="00172C11" w:rsidRPr="009256EE" w:rsidRDefault="00C177DB" w:rsidP="00ED3A63">
      <w:pPr>
        <w:pStyle w:val="Heading1"/>
      </w:pPr>
      <w:bookmarkStart w:id="13" w:name="_Toc26875377"/>
      <w:r>
        <w:t>10</w:t>
      </w:r>
      <w:r w:rsidR="00ED3A63">
        <w:t xml:space="preserve">.  </w:t>
      </w:r>
      <w:r w:rsidR="00172C11" w:rsidRPr="009256EE">
        <w:t>F</w:t>
      </w:r>
      <w:r w:rsidR="00ED3A63">
        <w:t>IVE</w:t>
      </w:r>
      <w:r w:rsidR="00172C11" w:rsidRPr="009256EE">
        <w:t xml:space="preserve"> P</w:t>
      </w:r>
      <w:r w:rsidR="00ED3A63">
        <w:t>RINCIPLES OF THE</w:t>
      </w:r>
      <w:r w:rsidR="00172C11" w:rsidRPr="009256EE">
        <w:t xml:space="preserve"> M</w:t>
      </w:r>
      <w:r w:rsidR="00ED3A63">
        <w:t>ENTAL</w:t>
      </w:r>
      <w:r w:rsidR="00172C11" w:rsidRPr="009256EE">
        <w:t xml:space="preserve"> C</w:t>
      </w:r>
      <w:r w:rsidR="00ED3A63">
        <w:t>APACITY</w:t>
      </w:r>
      <w:r w:rsidR="00172C11" w:rsidRPr="009256EE">
        <w:t xml:space="preserve"> A</w:t>
      </w:r>
      <w:r w:rsidR="00ED3A63">
        <w:t>CT</w:t>
      </w:r>
      <w:r w:rsidR="00172C11" w:rsidRPr="009256EE">
        <w:t xml:space="preserve"> 2005</w:t>
      </w:r>
      <w:bookmarkEnd w:id="13"/>
    </w:p>
    <w:p w14:paraId="5C9E0C2C" w14:textId="77777777" w:rsidR="00172C11" w:rsidRPr="00ED3A63" w:rsidRDefault="00172C11" w:rsidP="00ED3A63">
      <w:pPr>
        <w:pStyle w:val="NoSpacing"/>
        <w:spacing w:line="240" w:lineRule="auto"/>
        <w:rPr>
          <w:rFonts w:ascii="Arial" w:hAnsi="Arial" w:cs="Arial"/>
        </w:rPr>
      </w:pPr>
    </w:p>
    <w:p w14:paraId="3645EB92" w14:textId="77777777" w:rsidR="00172C11" w:rsidRPr="00ED3A63" w:rsidRDefault="00172C11" w:rsidP="00ED3A63">
      <w:pPr>
        <w:pStyle w:val="NoSpacing"/>
        <w:spacing w:line="240" w:lineRule="auto"/>
        <w:rPr>
          <w:rFonts w:ascii="Arial" w:hAnsi="Arial" w:cs="Arial"/>
        </w:rPr>
      </w:pPr>
      <w:proofErr w:type="gramStart"/>
      <w:r w:rsidRPr="00ED3A63">
        <w:rPr>
          <w:rFonts w:ascii="Arial" w:hAnsi="Arial" w:cs="Arial"/>
        </w:rPr>
        <w:t>In order to</w:t>
      </w:r>
      <w:proofErr w:type="gramEnd"/>
      <w:r w:rsidRPr="00ED3A63">
        <w:rPr>
          <w:rFonts w:ascii="Arial" w:hAnsi="Arial" w:cs="Arial"/>
        </w:rPr>
        <w:t xml:space="preserve"> complete a support plan the patient firstly has to be eligible and also have the capacity to make their own decisions.</w:t>
      </w:r>
    </w:p>
    <w:p w14:paraId="336B15FC" w14:textId="77777777" w:rsidR="00172C11" w:rsidRPr="00ED3A63" w:rsidRDefault="00172C11" w:rsidP="00ED3A63">
      <w:pPr>
        <w:pStyle w:val="NoSpacing"/>
        <w:spacing w:line="240" w:lineRule="auto"/>
        <w:rPr>
          <w:rFonts w:ascii="Arial" w:hAnsi="Arial" w:cs="Arial"/>
        </w:rPr>
      </w:pPr>
    </w:p>
    <w:p w14:paraId="2E372523" w14:textId="77777777" w:rsidR="00172C11" w:rsidRPr="00ED3A63" w:rsidRDefault="00172C11" w:rsidP="00ED3A63">
      <w:pPr>
        <w:pStyle w:val="NoSpacing"/>
        <w:spacing w:line="240" w:lineRule="auto"/>
        <w:rPr>
          <w:rFonts w:ascii="Arial" w:hAnsi="Arial" w:cs="Arial"/>
        </w:rPr>
      </w:pPr>
      <w:r w:rsidRPr="00ED3A63">
        <w:rPr>
          <w:rFonts w:ascii="Arial" w:hAnsi="Arial" w:cs="Arial"/>
        </w:rPr>
        <w:t>In cases of uncertainty around a patient’s capacity it will be necessary to undertake an assessment in accordance with the Mental Capacity Act, 2005 (3). This will be managed as part of the NHS Continuing Healthcare assessment process and may include the use of an Independent Mental Capacity Advocate (IMCA) service.</w:t>
      </w:r>
    </w:p>
    <w:p w14:paraId="14987939" w14:textId="77777777" w:rsidR="00172C11" w:rsidRPr="00ED3A63" w:rsidRDefault="00172C11" w:rsidP="00ED3A63">
      <w:pPr>
        <w:pStyle w:val="NoSpacing"/>
        <w:spacing w:line="240" w:lineRule="auto"/>
        <w:rPr>
          <w:rFonts w:ascii="Arial" w:hAnsi="Arial" w:cs="Arial"/>
        </w:rPr>
      </w:pPr>
    </w:p>
    <w:p w14:paraId="386F3A74" w14:textId="77777777" w:rsidR="00172C11" w:rsidRDefault="00172C11" w:rsidP="00ED3A63">
      <w:pPr>
        <w:pStyle w:val="NoSpacing"/>
        <w:spacing w:line="240" w:lineRule="auto"/>
        <w:rPr>
          <w:rFonts w:ascii="Arial" w:hAnsi="Arial" w:cs="Arial"/>
        </w:rPr>
      </w:pPr>
      <w:r w:rsidRPr="00ED3A63">
        <w:rPr>
          <w:rFonts w:ascii="Arial" w:hAnsi="Arial" w:cs="Arial"/>
        </w:rPr>
        <w:t xml:space="preserve">The five key principles of the Mental Capacity Act are as follows: </w:t>
      </w:r>
    </w:p>
    <w:p w14:paraId="1E223734" w14:textId="77777777" w:rsidR="00ED3A63" w:rsidRPr="00ED3A63" w:rsidRDefault="00ED3A63" w:rsidP="00ED3A63">
      <w:pPr>
        <w:pStyle w:val="NoSpacing"/>
        <w:spacing w:line="240" w:lineRule="auto"/>
        <w:rPr>
          <w:rFonts w:ascii="Arial" w:hAnsi="Arial" w:cs="Arial"/>
        </w:rPr>
      </w:pPr>
    </w:p>
    <w:p w14:paraId="21AC8F2C" w14:textId="77777777" w:rsidR="00172C11" w:rsidRPr="00ED3A63" w:rsidRDefault="00172C11" w:rsidP="00943F34">
      <w:pPr>
        <w:pStyle w:val="NoSpacing"/>
        <w:numPr>
          <w:ilvl w:val="0"/>
          <w:numId w:val="1"/>
        </w:numPr>
        <w:spacing w:line="240" w:lineRule="auto"/>
        <w:ind w:left="227" w:hanging="227"/>
        <w:rPr>
          <w:rFonts w:ascii="Arial" w:hAnsi="Arial" w:cs="Arial"/>
        </w:rPr>
      </w:pPr>
      <w:r w:rsidRPr="00ED3A63">
        <w:rPr>
          <w:rFonts w:ascii="Arial" w:hAnsi="Arial" w:cs="Arial"/>
        </w:rPr>
        <w:t xml:space="preserve">A person must be assumed to have capacity unless it is established that he/she lacks capacity. Assumptions should not be made that a person lacks capacity merely because they appear to be vulnerable. </w:t>
      </w:r>
    </w:p>
    <w:p w14:paraId="73FD572F" w14:textId="77777777" w:rsidR="00172C11" w:rsidRPr="00ED3A63" w:rsidRDefault="00172C11" w:rsidP="00943F34">
      <w:pPr>
        <w:pStyle w:val="NoSpacing"/>
        <w:numPr>
          <w:ilvl w:val="0"/>
          <w:numId w:val="1"/>
        </w:numPr>
        <w:spacing w:line="240" w:lineRule="auto"/>
        <w:ind w:left="227" w:hanging="227"/>
        <w:rPr>
          <w:rFonts w:ascii="Arial" w:hAnsi="Arial" w:cs="Arial"/>
        </w:rPr>
      </w:pPr>
      <w:r w:rsidRPr="00ED3A63">
        <w:rPr>
          <w:rFonts w:ascii="Arial" w:hAnsi="Arial" w:cs="Arial"/>
        </w:rPr>
        <w:t xml:space="preserve">A person is not to be treated as unable to </w:t>
      </w:r>
      <w:proofErr w:type="gramStart"/>
      <w:r w:rsidRPr="00ED3A63">
        <w:rPr>
          <w:rFonts w:ascii="Arial" w:hAnsi="Arial" w:cs="Arial"/>
        </w:rPr>
        <w:t>make a decision</w:t>
      </w:r>
      <w:proofErr w:type="gramEnd"/>
      <w:r w:rsidRPr="00ED3A63">
        <w:rPr>
          <w:rFonts w:ascii="Arial" w:hAnsi="Arial" w:cs="Arial"/>
        </w:rPr>
        <w:t xml:space="preserve"> unless all practicable steps to help him/her do so have been taken without success. </w:t>
      </w:r>
    </w:p>
    <w:p w14:paraId="59069BDC" w14:textId="77777777" w:rsidR="00172C11" w:rsidRPr="00ED3A63" w:rsidRDefault="00172C11" w:rsidP="00943F34">
      <w:pPr>
        <w:pStyle w:val="NoSpacing"/>
        <w:numPr>
          <w:ilvl w:val="0"/>
          <w:numId w:val="1"/>
        </w:numPr>
        <w:spacing w:line="240" w:lineRule="auto"/>
        <w:ind w:left="227" w:hanging="227"/>
        <w:rPr>
          <w:rFonts w:ascii="Arial" w:hAnsi="Arial" w:cs="Arial"/>
        </w:rPr>
      </w:pPr>
      <w:r w:rsidRPr="00ED3A63">
        <w:rPr>
          <w:rFonts w:ascii="Arial" w:hAnsi="Arial" w:cs="Arial"/>
        </w:rPr>
        <w:t xml:space="preserve">A person is not to be treated as unable to </w:t>
      </w:r>
      <w:proofErr w:type="gramStart"/>
      <w:r w:rsidRPr="00ED3A63">
        <w:rPr>
          <w:rFonts w:ascii="Arial" w:hAnsi="Arial" w:cs="Arial"/>
        </w:rPr>
        <w:t>make a decision</w:t>
      </w:r>
      <w:proofErr w:type="gramEnd"/>
      <w:r w:rsidRPr="00ED3A63">
        <w:rPr>
          <w:rFonts w:ascii="Arial" w:hAnsi="Arial" w:cs="Arial"/>
        </w:rPr>
        <w:t xml:space="preserve"> merely because he/she makes an unwise decision. Patients will wish to balance their safety with other qualities of life such as independence/family life. This may lead them to make choices about their safety that others may deem to be unwise, but they have the right to make those choices. </w:t>
      </w:r>
    </w:p>
    <w:p w14:paraId="6D963570" w14:textId="77777777" w:rsidR="00172C11" w:rsidRPr="00ED3A63" w:rsidRDefault="00172C11" w:rsidP="00943F34">
      <w:pPr>
        <w:pStyle w:val="NoSpacing"/>
        <w:numPr>
          <w:ilvl w:val="0"/>
          <w:numId w:val="1"/>
        </w:numPr>
        <w:spacing w:line="240" w:lineRule="auto"/>
        <w:ind w:left="227" w:hanging="227"/>
        <w:rPr>
          <w:rFonts w:ascii="Arial" w:hAnsi="Arial" w:cs="Arial"/>
        </w:rPr>
      </w:pPr>
      <w:r w:rsidRPr="00ED3A63">
        <w:rPr>
          <w:rFonts w:ascii="Arial" w:hAnsi="Arial" w:cs="Arial"/>
        </w:rPr>
        <w:t xml:space="preserve">An act or decision made under this Act for or on behalf of a person who lacks capacity must be done, or made, in his/her best interests. Best interest decisions in safeguarding take account of all relevant factors including the views of the patient, their values, lifestyle and beliefs and the views of others involved in their care. </w:t>
      </w:r>
    </w:p>
    <w:p w14:paraId="368D06D2" w14:textId="77777777" w:rsidR="00172C11" w:rsidRPr="00ED3A63" w:rsidRDefault="00172C11" w:rsidP="00943F34">
      <w:pPr>
        <w:pStyle w:val="NoSpacing"/>
        <w:numPr>
          <w:ilvl w:val="0"/>
          <w:numId w:val="1"/>
        </w:numPr>
        <w:spacing w:line="240" w:lineRule="auto"/>
        <w:ind w:left="227" w:hanging="227"/>
        <w:rPr>
          <w:rFonts w:ascii="Arial" w:hAnsi="Arial" w:cs="Arial"/>
        </w:rPr>
      </w:pPr>
      <w:r w:rsidRPr="00ED3A63">
        <w:rPr>
          <w:rFonts w:ascii="Arial" w:hAnsi="Arial" w:cs="Arial"/>
        </w:rPr>
        <w:t xml:space="preserve">Before the act is completed, or the decision is made it must be considered whether the purpose for which it is needed can be as effectively achieved in a way that is least restrictive of the person’s rights and freedom of action. Where a person lacks capacity to </w:t>
      </w:r>
      <w:proofErr w:type="gramStart"/>
      <w:r w:rsidRPr="00ED3A63">
        <w:rPr>
          <w:rFonts w:ascii="Arial" w:hAnsi="Arial" w:cs="Arial"/>
        </w:rPr>
        <w:t>make a decision</w:t>
      </w:r>
      <w:proofErr w:type="gramEnd"/>
      <w:r w:rsidRPr="00ED3A63">
        <w:rPr>
          <w:rFonts w:ascii="Arial" w:hAnsi="Arial" w:cs="Arial"/>
        </w:rPr>
        <w:t xml:space="preserve">, any use of restriction and restraint must be necessary and proportionate and to prevent harm to that person. </w:t>
      </w:r>
      <w:r w:rsidRPr="00ED3A63">
        <w:rPr>
          <w:rFonts w:ascii="Arial" w:hAnsi="Arial" w:cs="Arial"/>
        </w:rPr>
        <w:lastRenderedPageBreak/>
        <w:t xml:space="preserve">Safeguarding interventions need to balance the wish to protect the patient from harm with protecting other rights, such as right to family life. </w:t>
      </w:r>
    </w:p>
    <w:p w14:paraId="5B4B66F3" w14:textId="77777777" w:rsidR="00172C11" w:rsidRPr="00ED3A63" w:rsidRDefault="00172C11" w:rsidP="00ED3A63">
      <w:pPr>
        <w:pStyle w:val="NoSpacing"/>
        <w:spacing w:line="240" w:lineRule="auto"/>
        <w:rPr>
          <w:rFonts w:ascii="Arial" w:hAnsi="Arial" w:cs="Arial"/>
        </w:rPr>
      </w:pPr>
    </w:p>
    <w:p w14:paraId="76B96F1C" w14:textId="77777777" w:rsidR="00172C11" w:rsidRDefault="00172C11" w:rsidP="00ED3A63">
      <w:pPr>
        <w:pStyle w:val="NoSpacing"/>
        <w:spacing w:line="240" w:lineRule="auto"/>
        <w:rPr>
          <w:rFonts w:ascii="Arial" w:hAnsi="Arial" w:cs="Arial"/>
          <w:kern w:val="0"/>
        </w:rPr>
      </w:pPr>
      <w:r w:rsidRPr="00ED3A63">
        <w:rPr>
          <w:rFonts w:ascii="Arial" w:hAnsi="Arial" w:cs="Arial"/>
          <w:kern w:val="0"/>
        </w:rPr>
        <w:t>Where an individual is assessed as eligible for NHS Continuing Healthcare and is identified as lacking capacity the NHS Continuing Healthcare complex case nurse will work with the patient’s nominated representative to provide support planning guidance.</w:t>
      </w:r>
    </w:p>
    <w:p w14:paraId="42E88885" w14:textId="77777777" w:rsidR="00F5705D" w:rsidRDefault="00F5705D" w:rsidP="00ED3A63">
      <w:pPr>
        <w:pStyle w:val="NoSpacing"/>
        <w:spacing w:line="240" w:lineRule="auto"/>
        <w:rPr>
          <w:rFonts w:ascii="Arial" w:hAnsi="Arial" w:cs="Arial"/>
          <w:kern w:val="0"/>
        </w:rPr>
      </w:pPr>
    </w:p>
    <w:p w14:paraId="6DCA4030" w14:textId="77777777" w:rsidR="00F5705D" w:rsidRPr="00C2457D" w:rsidRDefault="00F5705D" w:rsidP="00ED3A63">
      <w:pPr>
        <w:pStyle w:val="NoSpacing"/>
        <w:spacing w:line="240" w:lineRule="auto"/>
        <w:rPr>
          <w:rFonts w:ascii="Arial" w:hAnsi="Arial" w:cs="Arial"/>
          <w:kern w:val="0"/>
        </w:rPr>
      </w:pPr>
      <w:r w:rsidRPr="00C2457D">
        <w:rPr>
          <w:rFonts w:ascii="Arial" w:hAnsi="Arial" w:cs="Arial"/>
          <w:kern w:val="0"/>
        </w:rPr>
        <w:t>The representative must be either:</w:t>
      </w:r>
    </w:p>
    <w:p w14:paraId="030D6488" w14:textId="77777777" w:rsidR="00F5705D" w:rsidRPr="00C2457D" w:rsidRDefault="00F5705D" w:rsidP="00ED3A63">
      <w:pPr>
        <w:pStyle w:val="NoSpacing"/>
        <w:spacing w:line="240" w:lineRule="auto"/>
        <w:rPr>
          <w:rFonts w:ascii="Arial" w:hAnsi="Arial" w:cs="Arial"/>
          <w:kern w:val="0"/>
        </w:rPr>
      </w:pPr>
    </w:p>
    <w:p w14:paraId="33D668E2" w14:textId="77777777" w:rsidR="00F5705D" w:rsidRPr="00C2457D" w:rsidRDefault="00F5705D" w:rsidP="00943F34">
      <w:pPr>
        <w:pStyle w:val="NoSpacing"/>
        <w:numPr>
          <w:ilvl w:val="0"/>
          <w:numId w:val="5"/>
        </w:numPr>
        <w:spacing w:line="240" w:lineRule="auto"/>
        <w:rPr>
          <w:rFonts w:ascii="Arial" w:hAnsi="Arial" w:cs="Arial"/>
          <w:kern w:val="0"/>
        </w:rPr>
      </w:pPr>
      <w:r w:rsidRPr="00C2457D">
        <w:rPr>
          <w:rFonts w:ascii="Arial" w:hAnsi="Arial" w:cs="Arial"/>
          <w:kern w:val="0"/>
        </w:rPr>
        <w:t xml:space="preserve">Someone who has been legally given lasting or enduring power of attorney by the person </w:t>
      </w:r>
      <w:r w:rsidR="0074169C" w:rsidRPr="00C2457D">
        <w:rPr>
          <w:rFonts w:ascii="Arial" w:hAnsi="Arial" w:cs="Arial"/>
          <w:kern w:val="0"/>
        </w:rPr>
        <w:t>at some point before they lost capacity</w:t>
      </w:r>
    </w:p>
    <w:p w14:paraId="438277C7" w14:textId="77777777" w:rsidR="0074169C" w:rsidRPr="00C2457D" w:rsidRDefault="0074169C" w:rsidP="00943F34">
      <w:pPr>
        <w:pStyle w:val="NoSpacing"/>
        <w:numPr>
          <w:ilvl w:val="0"/>
          <w:numId w:val="5"/>
        </w:numPr>
        <w:spacing w:line="240" w:lineRule="auto"/>
        <w:rPr>
          <w:rFonts w:ascii="Arial" w:hAnsi="Arial" w:cs="Arial"/>
          <w:kern w:val="0"/>
        </w:rPr>
      </w:pPr>
      <w:r w:rsidRPr="00C2457D">
        <w:rPr>
          <w:rFonts w:ascii="Arial" w:hAnsi="Arial" w:cs="Arial"/>
          <w:kern w:val="0"/>
        </w:rPr>
        <w:t xml:space="preserve">Someone with parental responsibility for a child or a </w:t>
      </w:r>
      <w:proofErr w:type="gramStart"/>
      <w:r w:rsidRPr="00C2457D">
        <w:rPr>
          <w:rFonts w:ascii="Arial" w:hAnsi="Arial" w:cs="Arial"/>
          <w:kern w:val="0"/>
        </w:rPr>
        <w:t>16-17 year old</w:t>
      </w:r>
      <w:proofErr w:type="gramEnd"/>
      <w:r w:rsidRPr="00C2457D">
        <w:rPr>
          <w:rFonts w:ascii="Arial" w:hAnsi="Arial" w:cs="Arial"/>
          <w:kern w:val="0"/>
        </w:rPr>
        <w:t xml:space="preserve"> who lacks capacity</w:t>
      </w:r>
    </w:p>
    <w:p w14:paraId="7F39D752" w14:textId="77777777" w:rsidR="0074169C" w:rsidRPr="00C2457D" w:rsidRDefault="0074169C" w:rsidP="00943F34">
      <w:pPr>
        <w:pStyle w:val="NoSpacing"/>
        <w:numPr>
          <w:ilvl w:val="0"/>
          <w:numId w:val="5"/>
        </w:numPr>
        <w:spacing w:line="240" w:lineRule="auto"/>
        <w:rPr>
          <w:rFonts w:ascii="Arial" w:hAnsi="Arial" w:cs="Arial"/>
          <w:kern w:val="0"/>
        </w:rPr>
      </w:pPr>
      <w:r w:rsidRPr="00C2457D">
        <w:rPr>
          <w:rFonts w:ascii="Arial" w:hAnsi="Arial" w:cs="Arial"/>
          <w:kern w:val="0"/>
        </w:rPr>
        <w:t>Someone who has been appointed a legal deputy for the person by the Court of Protection under section 16 of the Mental Capacity Act 2005</w:t>
      </w:r>
    </w:p>
    <w:p w14:paraId="6906504F" w14:textId="77777777" w:rsidR="0074169C" w:rsidRPr="00C2457D" w:rsidRDefault="0074169C" w:rsidP="00943F34">
      <w:pPr>
        <w:pStyle w:val="NoSpacing"/>
        <w:numPr>
          <w:ilvl w:val="0"/>
          <w:numId w:val="5"/>
        </w:numPr>
        <w:spacing w:line="240" w:lineRule="auto"/>
        <w:rPr>
          <w:rFonts w:ascii="Arial" w:hAnsi="Arial" w:cs="Arial"/>
          <w:kern w:val="0"/>
        </w:rPr>
      </w:pPr>
      <w:r w:rsidRPr="00C2457D">
        <w:rPr>
          <w:rFonts w:ascii="Arial" w:hAnsi="Arial" w:cs="Arial"/>
          <w:kern w:val="0"/>
        </w:rPr>
        <w:t>A person appointed to the role by the CCG</w:t>
      </w:r>
    </w:p>
    <w:p w14:paraId="3243D9B7" w14:textId="77777777" w:rsidR="0074169C" w:rsidRPr="00C2457D" w:rsidRDefault="0074169C" w:rsidP="00943F34">
      <w:pPr>
        <w:pStyle w:val="NoSpacing"/>
        <w:numPr>
          <w:ilvl w:val="0"/>
          <w:numId w:val="5"/>
        </w:numPr>
        <w:spacing w:line="240" w:lineRule="auto"/>
        <w:rPr>
          <w:rFonts w:ascii="Arial" w:hAnsi="Arial" w:cs="Arial"/>
          <w:kern w:val="0"/>
        </w:rPr>
      </w:pPr>
      <w:r w:rsidRPr="00C2457D">
        <w:rPr>
          <w:rFonts w:ascii="Arial" w:hAnsi="Arial" w:cs="Arial"/>
          <w:kern w:val="0"/>
        </w:rPr>
        <w:t>Someone who has capacity can choose a representative</w:t>
      </w:r>
    </w:p>
    <w:p w14:paraId="70041459" w14:textId="77777777" w:rsidR="0074169C" w:rsidRPr="00C2457D" w:rsidRDefault="0074169C" w:rsidP="0074169C">
      <w:pPr>
        <w:pStyle w:val="NoSpacing"/>
        <w:spacing w:line="240" w:lineRule="auto"/>
        <w:rPr>
          <w:rFonts w:ascii="Arial" w:hAnsi="Arial" w:cs="Arial"/>
          <w:kern w:val="0"/>
        </w:rPr>
      </w:pPr>
    </w:p>
    <w:p w14:paraId="678D967C" w14:textId="77777777" w:rsidR="0074169C" w:rsidRPr="00C2457D" w:rsidRDefault="0074169C" w:rsidP="0074169C">
      <w:pPr>
        <w:pStyle w:val="NoSpacing"/>
        <w:spacing w:line="240" w:lineRule="auto"/>
        <w:rPr>
          <w:rFonts w:ascii="Arial" w:hAnsi="Arial" w:cs="Arial"/>
          <w:kern w:val="0"/>
        </w:rPr>
      </w:pPr>
      <w:r w:rsidRPr="00C2457D">
        <w:rPr>
          <w:rFonts w:ascii="Arial" w:hAnsi="Arial" w:cs="Arial"/>
          <w:kern w:val="0"/>
        </w:rPr>
        <w:t xml:space="preserve">If the representative is not a close family member, someone living in the same </w:t>
      </w:r>
      <w:proofErr w:type="gramStart"/>
      <w:r w:rsidRPr="00C2457D">
        <w:rPr>
          <w:rFonts w:ascii="Arial" w:hAnsi="Arial" w:cs="Arial"/>
          <w:kern w:val="0"/>
        </w:rPr>
        <w:t>household</w:t>
      </w:r>
      <w:proofErr w:type="gramEnd"/>
      <w:r w:rsidRPr="00C2457D">
        <w:rPr>
          <w:rFonts w:ascii="Arial" w:hAnsi="Arial" w:cs="Arial"/>
          <w:kern w:val="0"/>
        </w:rPr>
        <w:t xml:space="preserve"> or a friend involved in their care then the CCG will require them to apply for a Disclosure Barring Service (DBS) check.</w:t>
      </w:r>
    </w:p>
    <w:p w14:paraId="3DD31280" w14:textId="77777777" w:rsidR="0074169C" w:rsidRPr="00C2457D" w:rsidRDefault="0074169C" w:rsidP="0074169C">
      <w:pPr>
        <w:pStyle w:val="NoSpacing"/>
        <w:spacing w:line="240" w:lineRule="auto"/>
        <w:rPr>
          <w:rFonts w:ascii="Arial" w:hAnsi="Arial" w:cs="Arial"/>
          <w:kern w:val="0"/>
        </w:rPr>
      </w:pPr>
    </w:p>
    <w:p w14:paraId="65799137" w14:textId="77777777" w:rsidR="0074169C" w:rsidRPr="00C2457D" w:rsidRDefault="0074169C" w:rsidP="0074169C">
      <w:pPr>
        <w:pStyle w:val="NoSpacing"/>
        <w:spacing w:line="240" w:lineRule="auto"/>
        <w:rPr>
          <w:rFonts w:ascii="Arial" w:hAnsi="Arial" w:cs="Arial"/>
          <w:kern w:val="0"/>
        </w:rPr>
      </w:pPr>
      <w:r w:rsidRPr="00C2457D">
        <w:rPr>
          <w:rFonts w:ascii="Arial" w:hAnsi="Arial" w:cs="Arial"/>
          <w:kern w:val="0"/>
        </w:rPr>
        <w:t>A representative should not be agreed if:</w:t>
      </w:r>
    </w:p>
    <w:p w14:paraId="03C4C739" w14:textId="77777777" w:rsidR="00314236" w:rsidRPr="00C2457D" w:rsidRDefault="00314236" w:rsidP="0074169C">
      <w:pPr>
        <w:pStyle w:val="NoSpacing"/>
        <w:spacing w:line="240" w:lineRule="auto"/>
        <w:rPr>
          <w:rFonts w:ascii="Arial" w:hAnsi="Arial" w:cs="Arial"/>
          <w:kern w:val="0"/>
        </w:rPr>
      </w:pPr>
    </w:p>
    <w:p w14:paraId="2F1B79D3" w14:textId="77777777" w:rsidR="0074169C" w:rsidRPr="00C2457D" w:rsidRDefault="0074169C" w:rsidP="00943F34">
      <w:pPr>
        <w:pStyle w:val="NoSpacing"/>
        <w:numPr>
          <w:ilvl w:val="0"/>
          <w:numId w:val="6"/>
        </w:numPr>
        <w:spacing w:line="240" w:lineRule="auto"/>
        <w:rPr>
          <w:rFonts w:ascii="Arial" w:hAnsi="Arial" w:cs="Arial"/>
          <w:kern w:val="0"/>
        </w:rPr>
      </w:pPr>
      <w:r w:rsidRPr="00C2457D">
        <w:rPr>
          <w:rFonts w:ascii="Arial" w:hAnsi="Arial" w:cs="Arial"/>
          <w:kern w:val="0"/>
        </w:rPr>
        <w:t>The person has been or is subject to any safeguarding proceedings in relation to safeguarding adults or children and the outcome of the investigation is still unknown or has been substantiated.</w:t>
      </w:r>
    </w:p>
    <w:p w14:paraId="4C1D5C42" w14:textId="77777777" w:rsidR="0074169C" w:rsidRPr="00C2457D" w:rsidRDefault="0074169C" w:rsidP="00943F34">
      <w:pPr>
        <w:pStyle w:val="NoSpacing"/>
        <w:numPr>
          <w:ilvl w:val="0"/>
          <w:numId w:val="6"/>
        </w:numPr>
        <w:spacing w:line="240" w:lineRule="auto"/>
        <w:rPr>
          <w:rFonts w:ascii="Arial" w:hAnsi="Arial" w:cs="Arial"/>
          <w:kern w:val="0"/>
        </w:rPr>
      </w:pPr>
      <w:r w:rsidRPr="00C2457D">
        <w:rPr>
          <w:rFonts w:ascii="Arial" w:hAnsi="Arial" w:cs="Arial"/>
          <w:kern w:val="0"/>
        </w:rPr>
        <w:t>The CCG/Local Authority or Police, in the context of safeguarding for that individual, has any other significant concerns.</w:t>
      </w:r>
    </w:p>
    <w:p w14:paraId="1D692A31" w14:textId="77777777" w:rsidR="0074169C" w:rsidRPr="00C2457D" w:rsidRDefault="0074169C" w:rsidP="00943F34">
      <w:pPr>
        <w:pStyle w:val="NoSpacing"/>
        <w:numPr>
          <w:ilvl w:val="0"/>
          <w:numId w:val="6"/>
        </w:numPr>
        <w:spacing w:line="240" w:lineRule="auto"/>
        <w:rPr>
          <w:rFonts w:ascii="Arial" w:hAnsi="Arial" w:cs="Arial"/>
          <w:kern w:val="0"/>
        </w:rPr>
      </w:pPr>
      <w:r w:rsidRPr="00C2457D">
        <w:rPr>
          <w:rFonts w:ascii="Arial" w:hAnsi="Arial" w:cs="Arial"/>
          <w:kern w:val="0"/>
        </w:rPr>
        <w:t xml:space="preserve">There is a conflict of interest, where a situation has the potential to undermine the impartiality of a person because of the possibility </w:t>
      </w:r>
      <w:r w:rsidR="00196230" w:rsidRPr="00C2457D">
        <w:rPr>
          <w:rFonts w:ascii="Arial" w:hAnsi="Arial" w:cs="Arial"/>
          <w:kern w:val="0"/>
        </w:rPr>
        <w:t>o</w:t>
      </w:r>
      <w:r w:rsidRPr="00C2457D">
        <w:rPr>
          <w:rFonts w:ascii="Arial" w:hAnsi="Arial" w:cs="Arial"/>
          <w:kern w:val="0"/>
        </w:rPr>
        <w:t>f a clash between</w:t>
      </w:r>
      <w:r w:rsidR="00196230" w:rsidRPr="00C2457D">
        <w:rPr>
          <w:rFonts w:ascii="Arial" w:hAnsi="Arial" w:cs="Arial"/>
          <w:kern w:val="0"/>
        </w:rPr>
        <w:t xml:space="preserve"> the person’s self-interest, professional </w:t>
      </w:r>
      <w:proofErr w:type="gramStart"/>
      <w:r w:rsidR="00196230" w:rsidRPr="00C2457D">
        <w:rPr>
          <w:rFonts w:ascii="Arial" w:hAnsi="Arial" w:cs="Arial"/>
          <w:kern w:val="0"/>
        </w:rPr>
        <w:t>interest</w:t>
      </w:r>
      <w:proofErr w:type="gramEnd"/>
      <w:r w:rsidR="00196230" w:rsidRPr="00C2457D">
        <w:rPr>
          <w:rFonts w:ascii="Arial" w:hAnsi="Arial" w:cs="Arial"/>
          <w:kern w:val="0"/>
        </w:rPr>
        <w:t xml:space="preserve"> or public interest. For example where a person is providing support to the individual for which they will be paid but also acts or plans to act as a representative for the direct payment. </w:t>
      </w:r>
      <w:r w:rsidRPr="00C2457D">
        <w:rPr>
          <w:rFonts w:ascii="Arial" w:hAnsi="Arial" w:cs="Arial"/>
          <w:kern w:val="0"/>
        </w:rPr>
        <w:t xml:space="preserve"> </w:t>
      </w:r>
    </w:p>
    <w:p w14:paraId="668467F3" w14:textId="77777777" w:rsidR="00196230" w:rsidRPr="00C2457D" w:rsidRDefault="00196230" w:rsidP="00196230">
      <w:pPr>
        <w:pStyle w:val="NoSpacing"/>
        <w:spacing w:line="240" w:lineRule="auto"/>
        <w:rPr>
          <w:rFonts w:ascii="Arial" w:hAnsi="Arial" w:cs="Arial"/>
          <w:kern w:val="0"/>
        </w:rPr>
      </w:pPr>
    </w:p>
    <w:p w14:paraId="0094C06E" w14:textId="77777777" w:rsidR="00196230" w:rsidRPr="00C2457D" w:rsidRDefault="00196230" w:rsidP="00196230">
      <w:pPr>
        <w:pStyle w:val="NoSpacing"/>
        <w:spacing w:line="240" w:lineRule="auto"/>
        <w:rPr>
          <w:rFonts w:ascii="Arial" w:hAnsi="Arial" w:cs="Arial"/>
          <w:kern w:val="0"/>
        </w:rPr>
      </w:pPr>
      <w:r w:rsidRPr="00C2457D">
        <w:rPr>
          <w:rFonts w:ascii="Arial" w:hAnsi="Arial" w:cs="Arial"/>
          <w:kern w:val="0"/>
        </w:rPr>
        <w:t>Patients or their representative must be asked to sign a consent form to share information between relevant organisations prior to the commencement of the PHB process.</w:t>
      </w:r>
    </w:p>
    <w:p w14:paraId="65A6E5B2" w14:textId="77777777" w:rsidR="00172C11" w:rsidRPr="00ED3A63" w:rsidRDefault="00172C11" w:rsidP="00ED3A63">
      <w:pPr>
        <w:pStyle w:val="NoSpacing"/>
        <w:spacing w:line="240" w:lineRule="auto"/>
        <w:rPr>
          <w:rFonts w:ascii="Arial" w:hAnsi="Arial" w:cs="Arial"/>
          <w:kern w:val="0"/>
        </w:rPr>
      </w:pPr>
    </w:p>
    <w:p w14:paraId="4EC6BE2C" w14:textId="77777777" w:rsidR="00172C11" w:rsidRPr="00ED3A63" w:rsidRDefault="00172C11" w:rsidP="00ED3A63">
      <w:pPr>
        <w:pStyle w:val="NoSpacing"/>
        <w:spacing w:line="240" w:lineRule="auto"/>
        <w:rPr>
          <w:rFonts w:ascii="Arial" w:hAnsi="Arial" w:cs="Arial"/>
          <w:kern w:val="0"/>
        </w:rPr>
      </w:pPr>
      <w:r w:rsidRPr="00ED3A63">
        <w:rPr>
          <w:rFonts w:ascii="Arial" w:hAnsi="Arial" w:cs="Arial"/>
          <w:kern w:val="0"/>
        </w:rPr>
        <w:t xml:space="preserve">Even if an individual does not meet the criteria for use of the Independent Mental Capacity Advocacy Service (IMCA) service and regardless of </w:t>
      </w:r>
      <w:proofErr w:type="gramStart"/>
      <w:r w:rsidRPr="00ED3A63">
        <w:rPr>
          <w:rFonts w:ascii="Arial" w:hAnsi="Arial" w:cs="Arial"/>
          <w:kern w:val="0"/>
        </w:rPr>
        <w:t>whether or not</w:t>
      </w:r>
      <w:proofErr w:type="gramEnd"/>
      <w:r w:rsidRPr="00ED3A63">
        <w:rPr>
          <w:rFonts w:ascii="Arial" w:hAnsi="Arial" w:cs="Arial"/>
          <w:kern w:val="0"/>
        </w:rPr>
        <w:t xml:space="preserve"> they lack capacity, they may wish to be supported by an advocate. In addition, any person may choose to have a family member or other person (who should operate independently of NEL Local Authority or NELCCG) to act as an advocate on their behalf. Care must be taken to establish if there is Power of Attorney for Health and Welfare held by anyone acting on behalf of an individual who lacks capacity. Also to be aware of the legal or other implications that might apply because of such Powers having been granted.</w:t>
      </w:r>
    </w:p>
    <w:p w14:paraId="397A817D" w14:textId="77777777" w:rsidR="00172C11" w:rsidRDefault="00172C11" w:rsidP="00ED3A63">
      <w:pPr>
        <w:pStyle w:val="NoSpacing"/>
        <w:spacing w:line="240" w:lineRule="auto"/>
        <w:rPr>
          <w:rFonts w:ascii="Arial" w:hAnsi="Arial" w:cs="Arial"/>
          <w:kern w:val="0"/>
        </w:rPr>
      </w:pPr>
    </w:p>
    <w:p w14:paraId="2BC67AA5" w14:textId="77777777" w:rsidR="002B5A68" w:rsidRDefault="002B5A68" w:rsidP="00ED3A63">
      <w:pPr>
        <w:pStyle w:val="NoSpacing"/>
        <w:spacing w:line="240" w:lineRule="auto"/>
        <w:rPr>
          <w:rFonts w:ascii="Arial" w:hAnsi="Arial" w:cs="Arial"/>
          <w:kern w:val="0"/>
        </w:rPr>
      </w:pPr>
    </w:p>
    <w:p w14:paraId="785BC46F" w14:textId="77777777" w:rsidR="002B5A68" w:rsidRDefault="002B5A68" w:rsidP="00ED3A63">
      <w:pPr>
        <w:pStyle w:val="NoSpacing"/>
        <w:spacing w:line="240" w:lineRule="auto"/>
        <w:rPr>
          <w:rFonts w:ascii="Arial" w:hAnsi="Arial" w:cs="Arial"/>
          <w:kern w:val="0"/>
        </w:rPr>
      </w:pPr>
    </w:p>
    <w:p w14:paraId="738BD4E0" w14:textId="77777777" w:rsidR="002B5A68" w:rsidRDefault="002B5A68" w:rsidP="00ED3A63">
      <w:pPr>
        <w:pStyle w:val="NoSpacing"/>
        <w:spacing w:line="240" w:lineRule="auto"/>
        <w:rPr>
          <w:rFonts w:ascii="Arial" w:hAnsi="Arial" w:cs="Arial"/>
          <w:kern w:val="0"/>
        </w:rPr>
      </w:pPr>
    </w:p>
    <w:p w14:paraId="56728DA2" w14:textId="77777777" w:rsidR="002B5A68" w:rsidRDefault="002B5A68" w:rsidP="00ED3A63">
      <w:pPr>
        <w:pStyle w:val="NoSpacing"/>
        <w:spacing w:line="240" w:lineRule="auto"/>
        <w:rPr>
          <w:rFonts w:ascii="Arial" w:hAnsi="Arial" w:cs="Arial"/>
          <w:kern w:val="0"/>
        </w:rPr>
      </w:pPr>
    </w:p>
    <w:p w14:paraId="03B06E3A" w14:textId="77777777" w:rsidR="002B5A68" w:rsidRDefault="002B5A68" w:rsidP="00ED3A63">
      <w:pPr>
        <w:pStyle w:val="NoSpacing"/>
        <w:spacing w:line="240" w:lineRule="auto"/>
        <w:rPr>
          <w:rFonts w:ascii="Arial" w:hAnsi="Arial" w:cs="Arial"/>
          <w:kern w:val="0"/>
        </w:rPr>
      </w:pPr>
    </w:p>
    <w:p w14:paraId="2281498A" w14:textId="77777777" w:rsidR="002B5A68" w:rsidRDefault="002B5A68" w:rsidP="00ED3A63">
      <w:pPr>
        <w:pStyle w:val="NoSpacing"/>
        <w:spacing w:line="240" w:lineRule="auto"/>
        <w:rPr>
          <w:rFonts w:ascii="Arial" w:hAnsi="Arial" w:cs="Arial"/>
          <w:kern w:val="0"/>
        </w:rPr>
      </w:pPr>
    </w:p>
    <w:p w14:paraId="54EEFBE3" w14:textId="77777777" w:rsidR="002B5A68" w:rsidRDefault="002B5A68" w:rsidP="00ED3A63">
      <w:pPr>
        <w:pStyle w:val="NoSpacing"/>
        <w:spacing w:line="240" w:lineRule="auto"/>
        <w:rPr>
          <w:rFonts w:ascii="Arial" w:hAnsi="Arial" w:cs="Arial"/>
          <w:kern w:val="0"/>
        </w:rPr>
      </w:pPr>
    </w:p>
    <w:p w14:paraId="6F421B9D" w14:textId="77777777" w:rsidR="002B5A68" w:rsidRDefault="002B5A68" w:rsidP="00ED3A63">
      <w:pPr>
        <w:pStyle w:val="NoSpacing"/>
        <w:spacing w:line="240" w:lineRule="auto"/>
        <w:rPr>
          <w:rFonts w:ascii="Arial" w:hAnsi="Arial" w:cs="Arial"/>
          <w:kern w:val="0"/>
        </w:rPr>
      </w:pPr>
    </w:p>
    <w:p w14:paraId="562A424E" w14:textId="77777777" w:rsidR="002B5A68" w:rsidRDefault="002B5A68" w:rsidP="00ED3A63">
      <w:pPr>
        <w:pStyle w:val="NoSpacing"/>
        <w:spacing w:line="240" w:lineRule="auto"/>
        <w:rPr>
          <w:rFonts w:ascii="Arial" w:hAnsi="Arial" w:cs="Arial"/>
          <w:kern w:val="0"/>
        </w:rPr>
      </w:pPr>
    </w:p>
    <w:p w14:paraId="4A8E9E06" w14:textId="10A3D382" w:rsidR="002B5A68" w:rsidRPr="00ED3A63" w:rsidRDefault="006C3D47" w:rsidP="00ED3A63">
      <w:pPr>
        <w:pStyle w:val="NoSpacing"/>
        <w:spacing w:line="240" w:lineRule="auto"/>
        <w:rPr>
          <w:rFonts w:ascii="Arial" w:hAnsi="Arial" w:cs="Arial"/>
          <w:kern w:val="0"/>
        </w:rPr>
      </w:pPr>
      <w:r>
        <w:rPr>
          <w:rFonts w:ascii="Arial" w:hAnsi="Arial" w:cs="Arial"/>
          <w:kern w:val="0"/>
        </w:rPr>
        <w:t xml:space="preserve"> </w:t>
      </w:r>
    </w:p>
    <w:p w14:paraId="5C512604" w14:textId="77777777" w:rsidR="00172C11" w:rsidRPr="00DD42C8" w:rsidRDefault="00C177DB" w:rsidP="00ED3A63">
      <w:pPr>
        <w:autoSpaceDE w:val="0"/>
        <w:autoSpaceDN w:val="0"/>
        <w:adjustRightInd w:val="0"/>
        <w:spacing w:line="276" w:lineRule="auto"/>
        <w:jc w:val="left"/>
        <w:rPr>
          <w:rStyle w:val="Heading1Char"/>
          <w:b w:val="0"/>
        </w:rPr>
      </w:pPr>
      <w:bookmarkStart w:id="14" w:name="_Toc26875378"/>
      <w:r>
        <w:rPr>
          <w:rStyle w:val="Heading1Char"/>
        </w:rPr>
        <w:lastRenderedPageBreak/>
        <w:t>11</w:t>
      </w:r>
      <w:r w:rsidR="00ED3A63" w:rsidRPr="00DD42C8">
        <w:rPr>
          <w:rStyle w:val="Heading1Char"/>
        </w:rPr>
        <w:t>.</w:t>
      </w:r>
      <w:r w:rsidR="00ED3A63" w:rsidRPr="00DD42C8">
        <w:rPr>
          <w:rStyle w:val="Heading1Char"/>
          <w:b w:val="0"/>
        </w:rPr>
        <w:t xml:space="preserve">  </w:t>
      </w:r>
      <w:r w:rsidR="00ED3A63" w:rsidRPr="00ED3A63">
        <w:rPr>
          <w:rStyle w:val="Heading1Char"/>
        </w:rPr>
        <w:t>HOW WILL IT OPERATE</w:t>
      </w:r>
      <w:r w:rsidR="00172C11" w:rsidRPr="00ED3A63">
        <w:rPr>
          <w:rStyle w:val="Heading1Char"/>
        </w:rPr>
        <w:t>?</w:t>
      </w:r>
      <w:bookmarkEnd w:id="14"/>
      <w:r w:rsidR="00172C11" w:rsidRPr="00DD42C8">
        <w:rPr>
          <w:rStyle w:val="Heading1Char"/>
          <w:b w:val="0"/>
        </w:rPr>
        <w:t xml:space="preserve"> </w:t>
      </w:r>
    </w:p>
    <w:p w14:paraId="302C5F7D" w14:textId="77777777" w:rsidR="00172C11" w:rsidRPr="009256EE" w:rsidRDefault="00172C11" w:rsidP="00172C11">
      <w:pPr>
        <w:autoSpaceDE w:val="0"/>
        <w:autoSpaceDN w:val="0"/>
        <w:adjustRightInd w:val="0"/>
        <w:spacing w:line="276" w:lineRule="auto"/>
        <w:jc w:val="left"/>
        <w:rPr>
          <w:rFonts w:cs="Arial"/>
          <w:b/>
          <w:bCs/>
          <w:kern w:val="0"/>
          <w:szCs w:val="22"/>
        </w:rPr>
      </w:pPr>
    </w:p>
    <w:p w14:paraId="315817CD" w14:textId="77777777" w:rsidR="00172C11" w:rsidRPr="009256EE" w:rsidRDefault="004C5F69" w:rsidP="008F1354">
      <w:pPr>
        <w:autoSpaceDE w:val="0"/>
        <w:autoSpaceDN w:val="0"/>
        <w:adjustRightInd w:val="0"/>
        <w:spacing w:line="276" w:lineRule="auto"/>
        <w:jc w:val="center"/>
        <w:rPr>
          <w:rFonts w:cs="Arial"/>
          <w:b/>
          <w:bCs/>
          <w:kern w:val="0"/>
          <w:szCs w:val="22"/>
        </w:rPr>
      </w:pPr>
      <w:r>
        <w:rPr>
          <w:rFonts w:cs="Arial"/>
          <w:b/>
          <w:noProof/>
          <w:kern w:val="0"/>
          <w:szCs w:val="22"/>
        </w:rPr>
        <w:drawing>
          <wp:inline distT="0" distB="0" distL="0" distR="0" wp14:anchorId="145D548A" wp14:editId="5B80FB43">
            <wp:extent cx="5935980" cy="40919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4091940"/>
                    </a:xfrm>
                    <a:prstGeom prst="rect">
                      <a:avLst/>
                    </a:prstGeom>
                    <a:noFill/>
                    <a:ln>
                      <a:noFill/>
                    </a:ln>
                  </pic:spPr>
                </pic:pic>
              </a:graphicData>
            </a:graphic>
          </wp:inline>
        </w:drawing>
      </w:r>
    </w:p>
    <w:p w14:paraId="1B95E1B3" w14:textId="77777777" w:rsidR="008F1354" w:rsidRDefault="008F1354" w:rsidP="008F1354">
      <w:pPr>
        <w:autoSpaceDE w:val="0"/>
        <w:autoSpaceDN w:val="0"/>
        <w:adjustRightInd w:val="0"/>
        <w:spacing w:line="276" w:lineRule="auto"/>
        <w:jc w:val="center"/>
        <w:rPr>
          <w:rFonts w:cs="Arial"/>
          <w:i/>
          <w:iCs/>
          <w:kern w:val="0"/>
          <w:szCs w:val="22"/>
        </w:rPr>
      </w:pPr>
    </w:p>
    <w:p w14:paraId="60005BC7" w14:textId="77777777" w:rsidR="00172C11" w:rsidRPr="009256EE" w:rsidRDefault="00172C11" w:rsidP="008F1354">
      <w:pPr>
        <w:autoSpaceDE w:val="0"/>
        <w:autoSpaceDN w:val="0"/>
        <w:adjustRightInd w:val="0"/>
        <w:spacing w:line="276" w:lineRule="auto"/>
        <w:jc w:val="center"/>
        <w:rPr>
          <w:rFonts w:cs="Arial"/>
          <w:i/>
          <w:iCs/>
          <w:kern w:val="0"/>
          <w:szCs w:val="22"/>
        </w:rPr>
      </w:pPr>
      <w:r w:rsidRPr="009256EE">
        <w:rPr>
          <w:rFonts w:cs="Arial"/>
          <w:i/>
          <w:iCs/>
          <w:kern w:val="0"/>
          <w:szCs w:val="22"/>
        </w:rPr>
        <w:t>Fig1. Stages of the personal health budgets process (9)</w:t>
      </w:r>
    </w:p>
    <w:p w14:paraId="08CDD3A3" w14:textId="77777777" w:rsidR="00172C11" w:rsidRPr="009256EE" w:rsidRDefault="00172C11" w:rsidP="00172C11">
      <w:pPr>
        <w:autoSpaceDE w:val="0"/>
        <w:autoSpaceDN w:val="0"/>
        <w:adjustRightInd w:val="0"/>
        <w:spacing w:line="276" w:lineRule="auto"/>
        <w:jc w:val="left"/>
        <w:rPr>
          <w:rFonts w:cs="Arial"/>
          <w:kern w:val="0"/>
          <w:szCs w:val="22"/>
        </w:rPr>
      </w:pPr>
    </w:p>
    <w:p w14:paraId="5B3CCEBC" w14:textId="77777777" w:rsidR="00172C11" w:rsidRPr="003D7F38" w:rsidRDefault="00172C11" w:rsidP="00943F34">
      <w:pPr>
        <w:pStyle w:val="NoSpacing"/>
        <w:numPr>
          <w:ilvl w:val="0"/>
          <w:numId w:val="1"/>
        </w:numPr>
        <w:spacing w:line="240" w:lineRule="auto"/>
        <w:ind w:left="227" w:hanging="227"/>
        <w:rPr>
          <w:rFonts w:ascii="Arial" w:hAnsi="Arial" w:cs="Arial"/>
        </w:rPr>
      </w:pPr>
      <w:r w:rsidRPr="003D7F38">
        <w:rPr>
          <w:rFonts w:ascii="Arial" w:hAnsi="Arial" w:cs="Arial"/>
        </w:rPr>
        <w:t>The Continuing Healthcare complex case nurse will provide guidance to eligible patients to assist with the support planning process.</w:t>
      </w:r>
    </w:p>
    <w:p w14:paraId="46D3D6D1" w14:textId="77777777" w:rsidR="00172C11" w:rsidRPr="003D7F38" w:rsidRDefault="00172C11" w:rsidP="003D7F38">
      <w:pPr>
        <w:pStyle w:val="NoSpacing"/>
        <w:spacing w:line="240" w:lineRule="auto"/>
        <w:ind w:left="227"/>
        <w:rPr>
          <w:rFonts w:ascii="Arial" w:hAnsi="Arial" w:cs="Arial"/>
        </w:rPr>
      </w:pPr>
    </w:p>
    <w:p w14:paraId="47E4E592" w14:textId="77777777" w:rsidR="00172C11" w:rsidRPr="003D7F38" w:rsidRDefault="00172C11" w:rsidP="00943F34">
      <w:pPr>
        <w:pStyle w:val="NoSpacing"/>
        <w:numPr>
          <w:ilvl w:val="0"/>
          <w:numId w:val="1"/>
        </w:numPr>
        <w:spacing w:line="240" w:lineRule="auto"/>
        <w:ind w:left="227" w:hanging="227"/>
        <w:rPr>
          <w:rFonts w:ascii="Arial" w:hAnsi="Arial" w:cs="Arial"/>
        </w:rPr>
      </w:pPr>
      <w:r w:rsidRPr="003D7F38">
        <w:rPr>
          <w:rFonts w:ascii="Arial" w:hAnsi="Arial" w:cs="Arial"/>
        </w:rPr>
        <w:t>The patient’s eligible needs will be assessed by the Multi-disciplinary Team within the CHC process, using the Decision Support Tool (DST). The domain levels specified in the DST will be entered into a budget setting tool. The budget setting tool will assign a recommended number of ‘traditional’ support hours based on the domain levels in the DST. Local benchmark support rates (in effect, the rates at which the CHC Team commission care packages), are applied to the recommended support hours to provide the indicative personal health budget. This provides the person with a guide to how much money they may have available to fund their support plan and will be proportionate to the patient needs</w:t>
      </w:r>
      <w:r w:rsidR="00546B09" w:rsidRPr="003D7F38">
        <w:rPr>
          <w:rFonts w:ascii="Arial" w:hAnsi="Arial" w:cs="Arial"/>
        </w:rPr>
        <w:t xml:space="preserve"> (note: this budget may change following review of eligibility)</w:t>
      </w:r>
      <w:r w:rsidRPr="003D7F38">
        <w:rPr>
          <w:rFonts w:ascii="Arial" w:hAnsi="Arial" w:cs="Arial"/>
        </w:rPr>
        <w:t>.</w:t>
      </w:r>
    </w:p>
    <w:p w14:paraId="3347DD1E" w14:textId="77777777" w:rsidR="00172C11" w:rsidRPr="003D7F38" w:rsidRDefault="00172C11" w:rsidP="00943F34">
      <w:pPr>
        <w:pStyle w:val="NoSpacing"/>
        <w:numPr>
          <w:ilvl w:val="0"/>
          <w:numId w:val="1"/>
        </w:numPr>
        <w:spacing w:line="240" w:lineRule="auto"/>
        <w:ind w:left="227" w:hanging="227"/>
        <w:rPr>
          <w:rFonts w:ascii="Arial" w:hAnsi="Arial" w:cs="Arial"/>
        </w:rPr>
      </w:pPr>
      <w:r w:rsidRPr="003D7F38">
        <w:rPr>
          <w:rFonts w:ascii="Arial" w:hAnsi="Arial" w:cs="Arial"/>
        </w:rPr>
        <w:t xml:space="preserve">This indicative budget </w:t>
      </w:r>
      <w:proofErr w:type="gramStart"/>
      <w:r w:rsidRPr="003D7F38">
        <w:rPr>
          <w:rFonts w:ascii="Arial" w:hAnsi="Arial" w:cs="Arial"/>
        </w:rPr>
        <w:t>is an approximation of</w:t>
      </w:r>
      <w:proofErr w:type="gramEnd"/>
      <w:r w:rsidRPr="003D7F38">
        <w:rPr>
          <w:rFonts w:ascii="Arial" w:hAnsi="Arial" w:cs="Arial"/>
        </w:rPr>
        <w:t xml:space="preserve"> the final cost allocation which will be provided to the patient in response to the finalised, approved support plan. It allows a constructive discussion to take place and helps inform the patient of the resources at his/her disposal.</w:t>
      </w:r>
    </w:p>
    <w:p w14:paraId="66FAA1E3" w14:textId="77777777" w:rsidR="00172C11" w:rsidRPr="003D7F38" w:rsidRDefault="00172C11" w:rsidP="003D7F38">
      <w:pPr>
        <w:pStyle w:val="NoSpacing"/>
        <w:spacing w:line="240" w:lineRule="auto"/>
        <w:ind w:left="227"/>
        <w:rPr>
          <w:rFonts w:ascii="Arial" w:hAnsi="Arial" w:cs="Arial"/>
        </w:rPr>
      </w:pPr>
    </w:p>
    <w:p w14:paraId="38216113" w14:textId="77777777" w:rsidR="00172C11" w:rsidRPr="003D7F38" w:rsidRDefault="00172C11" w:rsidP="00943F34">
      <w:pPr>
        <w:pStyle w:val="NoSpacing"/>
        <w:numPr>
          <w:ilvl w:val="0"/>
          <w:numId w:val="1"/>
        </w:numPr>
        <w:spacing w:line="240" w:lineRule="auto"/>
        <w:ind w:left="227" w:hanging="227"/>
        <w:rPr>
          <w:rFonts w:ascii="Arial" w:hAnsi="Arial" w:cs="Arial"/>
        </w:rPr>
      </w:pPr>
      <w:r w:rsidRPr="003D7F38">
        <w:rPr>
          <w:rFonts w:ascii="Arial" w:hAnsi="Arial" w:cs="Arial"/>
        </w:rPr>
        <w:t xml:space="preserve">While patients will be responsible for developing their own support plan, CCGs statutory responsibility for their duty of care remains. </w:t>
      </w:r>
      <w:proofErr w:type="gramStart"/>
      <w:r w:rsidRPr="003D7F38">
        <w:rPr>
          <w:rFonts w:ascii="Arial" w:hAnsi="Arial" w:cs="Arial"/>
        </w:rPr>
        <w:t>In order to</w:t>
      </w:r>
      <w:proofErr w:type="gramEnd"/>
      <w:r w:rsidRPr="003D7F38">
        <w:rPr>
          <w:rFonts w:ascii="Arial" w:hAnsi="Arial" w:cs="Arial"/>
        </w:rPr>
        <w:t xml:space="preserve"> continue to fulfil this responsibility the Indicative Budget offered is a reasonable amount within which the patient can plan for their care.</w:t>
      </w:r>
    </w:p>
    <w:p w14:paraId="7395E70C" w14:textId="77777777" w:rsidR="00172C11" w:rsidRPr="003D7F38" w:rsidRDefault="00172C11" w:rsidP="003D7F38">
      <w:pPr>
        <w:pStyle w:val="NoSpacing"/>
        <w:spacing w:line="240" w:lineRule="auto"/>
        <w:ind w:left="227"/>
        <w:rPr>
          <w:rFonts w:ascii="Arial" w:hAnsi="Arial" w:cs="Arial"/>
        </w:rPr>
      </w:pPr>
    </w:p>
    <w:p w14:paraId="58CDACB2" w14:textId="77777777" w:rsidR="00172C11" w:rsidRPr="003D7F38" w:rsidRDefault="00172C11" w:rsidP="00943F34">
      <w:pPr>
        <w:pStyle w:val="NoSpacing"/>
        <w:numPr>
          <w:ilvl w:val="0"/>
          <w:numId w:val="1"/>
        </w:numPr>
        <w:spacing w:line="240" w:lineRule="auto"/>
        <w:ind w:left="227" w:hanging="227"/>
        <w:rPr>
          <w:rFonts w:ascii="Arial" w:hAnsi="Arial" w:cs="Arial"/>
        </w:rPr>
      </w:pPr>
      <w:r w:rsidRPr="003D7F38">
        <w:rPr>
          <w:rFonts w:ascii="Arial" w:hAnsi="Arial" w:cs="Arial"/>
        </w:rPr>
        <w:t xml:space="preserve">Guidance can be found in the respective process documents covering the main stages of CHC/PHB’s. This guidance provides information from initial consultation &amp; planning, finalising &amp; submission, and receipt &amp; monitoring. </w:t>
      </w:r>
    </w:p>
    <w:p w14:paraId="656713E2" w14:textId="77777777" w:rsidR="00172C11" w:rsidRPr="003D7F38" w:rsidRDefault="00172C11" w:rsidP="003D7F38">
      <w:pPr>
        <w:pStyle w:val="NoSpacing"/>
        <w:spacing w:line="240" w:lineRule="auto"/>
        <w:ind w:left="227"/>
        <w:rPr>
          <w:rFonts w:ascii="Arial" w:hAnsi="Arial" w:cs="Arial"/>
        </w:rPr>
      </w:pPr>
    </w:p>
    <w:p w14:paraId="3E72C288" w14:textId="2112C2B2" w:rsidR="00172C11" w:rsidRPr="003D7F38" w:rsidRDefault="00172C11" w:rsidP="00943F34">
      <w:pPr>
        <w:pStyle w:val="NoSpacing"/>
        <w:numPr>
          <w:ilvl w:val="0"/>
          <w:numId w:val="1"/>
        </w:numPr>
        <w:spacing w:line="240" w:lineRule="auto"/>
        <w:ind w:left="227" w:hanging="227"/>
        <w:rPr>
          <w:rFonts w:ascii="Arial" w:hAnsi="Arial" w:cs="Arial"/>
        </w:rPr>
      </w:pPr>
      <w:r w:rsidRPr="003D7F38">
        <w:rPr>
          <w:rFonts w:ascii="Arial" w:hAnsi="Arial" w:cs="Arial"/>
        </w:rPr>
        <w:lastRenderedPageBreak/>
        <w:t xml:space="preserve">If the patient selects non-traditional </w:t>
      </w:r>
      <w:proofErr w:type="gramStart"/>
      <w:r w:rsidRPr="003D7F38">
        <w:rPr>
          <w:rFonts w:ascii="Arial" w:hAnsi="Arial" w:cs="Arial"/>
        </w:rPr>
        <w:t>providers</w:t>
      </w:r>
      <w:proofErr w:type="gramEnd"/>
      <w:r w:rsidRPr="003D7F38">
        <w:rPr>
          <w:rFonts w:ascii="Arial" w:hAnsi="Arial" w:cs="Arial"/>
        </w:rPr>
        <w:t xml:space="preserve"> then the following checks are carried out for assurance; respective training and qualifications, Disclosure and Barring Service checks, appropriate level of insurance (third party, public liability</w:t>
      </w:r>
      <w:r w:rsidR="006C3D47">
        <w:rPr>
          <w:rFonts w:ascii="Arial" w:hAnsi="Arial" w:cs="Arial"/>
        </w:rPr>
        <w:t xml:space="preserve"> and redundancy</w:t>
      </w:r>
      <w:r w:rsidRPr="003D7F38">
        <w:rPr>
          <w:rFonts w:ascii="Arial" w:hAnsi="Arial" w:cs="Arial"/>
        </w:rPr>
        <w:t>) and when appropriate checks are completed that the provider is registered with their respective Local Authorities and CCG contract teams.</w:t>
      </w:r>
    </w:p>
    <w:p w14:paraId="539DB7CB" w14:textId="77777777" w:rsidR="00172C11" w:rsidRPr="003D7F38" w:rsidRDefault="00172C11" w:rsidP="003D7F38">
      <w:pPr>
        <w:pStyle w:val="NoSpacing"/>
        <w:spacing w:line="240" w:lineRule="auto"/>
        <w:ind w:left="227"/>
        <w:rPr>
          <w:rFonts w:ascii="Arial" w:hAnsi="Arial" w:cs="Arial"/>
        </w:rPr>
      </w:pPr>
    </w:p>
    <w:p w14:paraId="64A0BF29" w14:textId="77777777" w:rsidR="00172C11" w:rsidRPr="003D7F38" w:rsidRDefault="00172C11" w:rsidP="00943F34">
      <w:pPr>
        <w:pStyle w:val="NoSpacing"/>
        <w:numPr>
          <w:ilvl w:val="0"/>
          <w:numId w:val="1"/>
        </w:numPr>
        <w:spacing w:line="240" w:lineRule="auto"/>
        <w:ind w:left="227" w:hanging="227"/>
        <w:rPr>
          <w:rFonts w:ascii="Arial" w:hAnsi="Arial" w:cs="Arial"/>
        </w:rPr>
      </w:pPr>
      <w:r w:rsidRPr="003D7F38">
        <w:rPr>
          <w:rFonts w:ascii="Arial" w:hAnsi="Arial" w:cs="Arial"/>
        </w:rPr>
        <w:t xml:space="preserve">The budget holder will need to decide on how to receive and manage payments from the three options available to them with the completion of respective paperwork, i.e. Notional, Direct, and </w:t>
      </w:r>
      <w:proofErr w:type="gramStart"/>
      <w:r w:rsidRPr="003D7F38">
        <w:rPr>
          <w:rFonts w:ascii="Arial" w:hAnsi="Arial" w:cs="Arial"/>
        </w:rPr>
        <w:t>Third Party</w:t>
      </w:r>
      <w:proofErr w:type="gramEnd"/>
      <w:r w:rsidRPr="003D7F38">
        <w:rPr>
          <w:rFonts w:ascii="Arial" w:hAnsi="Arial" w:cs="Arial"/>
        </w:rPr>
        <w:t xml:space="preserve"> payments.</w:t>
      </w:r>
    </w:p>
    <w:p w14:paraId="05D26EA0" w14:textId="77777777" w:rsidR="00172C11" w:rsidRPr="003D7F38" w:rsidRDefault="00172C11" w:rsidP="003D7F38">
      <w:pPr>
        <w:pStyle w:val="NoSpacing"/>
        <w:spacing w:line="240" w:lineRule="auto"/>
        <w:ind w:left="227"/>
        <w:rPr>
          <w:rFonts w:ascii="Arial" w:hAnsi="Arial" w:cs="Arial"/>
        </w:rPr>
      </w:pPr>
    </w:p>
    <w:p w14:paraId="74EAA4B9" w14:textId="77777777" w:rsidR="00172C11" w:rsidRPr="003D7F38" w:rsidRDefault="00172C11" w:rsidP="00943F34">
      <w:pPr>
        <w:pStyle w:val="NoSpacing"/>
        <w:numPr>
          <w:ilvl w:val="0"/>
          <w:numId w:val="1"/>
        </w:numPr>
        <w:spacing w:line="240" w:lineRule="auto"/>
        <w:ind w:left="227" w:hanging="227"/>
        <w:rPr>
          <w:rFonts w:ascii="Arial" w:hAnsi="Arial" w:cs="Arial"/>
        </w:rPr>
      </w:pPr>
      <w:r w:rsidRPr="003D7F38">
        <w:rPr>
          <w:rFonts w:ascii="Arial" w:hAnsi="Arial" w:cs="Arial"/>
        </w:rPr>
        <w:t>Once the indicative budget is refined to reflect a final budget, alongside clear links to outcomes, it will be submitted for sign off by the NEL CHC Decision Forum.</w:t>
      </w:r>
    </w:p>
    <w:p w14:paraId="68BE3AAD" w14:textId="77777777" w:rsidR="00172C11" w:rsidRPr="003D7F38" w:rsidRDefault="00172C11" w:rsidP="003D7F38">
      <w:pPr>
        <w:pStyle w:val="NoSpacing"/>
        <w:spacing w:line="240" w:lineRule="auto"/>
        <w:ind w:left="227"/>
        <w:rPr>
          <w:rFonts w:ascii="Arial" w:hAnsi="Arial" w:cs="Arial"/>
        </w:rPr>
      </w:pPr>
    </w:p>
    <w:p w14:paraId="64DDE739" w14:textId="77777777" w:rsidR="00172C11" w:rsidRPr="003D7F38" w:rsidRDefault="00172C11" w:rsidP="00943F34">
      <w:pPr>
        <w:pStyle w:val="NoSpacing"/>
        <w:numPr>
          <w:ilvl w:val="0"/>
          <w:numId w:val="1"/>
        </w:numPr>
        <w:spacing w:line="240" w:lineRule="auto"/>
        <w:ind w:left="227" w:hanging="227"/>
        <w:rPr>
          <w:rFonts w:ascii="Arial" w:hAnsi="Arial" w:cs="Arial"/>
        </w:rPr>
      </w:pPr>
      <w:r w:rsidRPr="003D7F38">
        <w:rPr>
          <w:rFonts w:ascii="Arial" w:hAnsi="Arial" w:cs="Arial"/>
        </w:rPr>
        <w:t xml:space="preserve">The validated support plan will provide a reference for the patient and clinician within the CCG, with expenditure monitored at set intervals. In response to fluctuating health needs both clinician and patient can highlight the requirement for a reassessment and for the review and amendment (if required) of their respective support plan. Alongside any concerns indicating a need for ad-hoc review of needs, the plan will specify timescales at which </w:t>
      </w:r>
      <w:proofErr w:type="gramStart"/>
      <w:r w:rsidRPr="003D7F38">
        <w:rPr>
          <w:rFonts w:ascii="Arial" w:hAnsi="Arial" w:cs="Arial"/>
        </w:rPr>
        <w:t>review</w:t>
      </w:r>
      <w:proofErr w:type="gramEnd"/>
      <w:r w:rsidRPr="003D7F38">
        <w:rPr>
          <w:rFonts w:ascii="Arial" w:hAnsi="Arial" w:cs="Arial"/>
        </w:rPr>
        <w:t xml:space="preserve"> and monitoring will take place.</w:t>
      </w:r>
    </w:p>
    <w:p w14:paraId="2FFC5085" w14:textId="77777777" w:rsidR="00172C11" w:rsidRPr="003D7F38" w:rsidRDefault="00172C11" w:rsidP="003D7F38">
      <w:pPr>
        <w:pStyle w:val="NoSpacing"/>
        <w:spacing w:line="240" w:lineRule="auto"/>
        <w:ind w:left="227"/>
        <w:rPr>
          <w:rFonts w:ascii="Arial" w:hAnsi="Arial" w:cs="Arial"/>
        </w:rPr>
      </w:pPr>
    </w:p>
    <w:p w14:paraId="7DA9DDD9" w14:textId="77777777" w:rsidR="00172C11" w:rsidRPr="00F47232" w:rsidRDefault="00172C11" w:rsidP="00943F34">
      <w:pPr>
        <w:pStyle w:val="NoSpacing"/>
        <w:numPr>
          <w:ilvl w:val="0"/>
          <w:numId w:val="1"/>
        </w:numPr>
        <w:spacing w:line="240" w:lineRule="auto"/>
        <w:ind w:left="227" w:hanging="227"/>
        <w:rPr>
          <w:rFonts w:cs="Arial"/>
          <w:kern w:val="0"/>
        </w:rPr>
      </w:pPr>
      <w:r w:rsidRPr="003D7F38">
        <w:rPr>
          <w:rFonts w:ascii="Arial" w:hAnsi="Arial" w:cs="Arial"/>
        </w:rPr>
        <w:t xml:space="preserve">The personal budget holder will be responsible for maintaining adequate financial records relating to the management of their allocated funding and will be required to submit documents such as bank statements, </w:t>
      </w:r>
      <w:proofErr w:type="gramStart"/>
      <w:r w:rsidRPr="003D7F38">
        <w:rPr>
          <w:rFonts w:ascii="Arial" w:hAnsi="Arial" w:cs="Arial"/>
        </w:rPr>
        <w:t>invoices</w:t>
      </w:r>
      <w:proofErr w:type="gramEnd"/>
      <w:r w:rsidRPr="003D7F38">
        <w:rPr>
          <w:rFonts w:ascii="Arial" w:hAnsi="Arial" w:cs="Arial"/>
        </w:rPr>
        <w:t xml:space="preserve"> and receipts so that they can be checked as part of the financial review process</w:t>
      </w:r>
    </w:p>
    <w:p w14:paraId="2F843C1F" w14:textId="546B4965" w:rsidR="002B5A68" w:rsidRPr="009256EE" w:rsidRDefault="002B5A68" w:rsidP="00314236">
      <w:pPr>
        <w:spacing w:line="240" w:lineRule="auto"/>
        <w:jc w:val="left"/>
        <w:rPr>
          <w:rFonts w:cs="Arial"/>
          <w:b/>
          <w:bCs/>
          <w:kern w:val="0"/>
          <w:szCs w:val="22"/>
          <w:lang w:eastAsia="en-US"/>
        </w:rPr>
      </w:pPr>
    </w:p>
    <w:p w14:paraId="7F03439B" w14:textId="77777777" w:rsidR="00172C11" w:rsidRPr="009256EE" w:rsidRDefault="00C177DB" w:rsidP="003D7F38">
      <w:pPr>
        <w:pStyle w:val="Heading1"/>
      </w:pPr>
      <w:bookmarkStart w:id="15" w:name="_Toc26875379"/>
      <w:r>
        <w:t>12</w:t>
      </w:r>
      <w:r w:rsidR="003D7F38">
        <w:t xml:space="preserve">. </w:t>
      </w:r>
      <w:r w:rsidR="00172C11" w:rsidRPr="009256EE">
        <w:t>W</w:t>
      </w:r>
      <w:r w:rsidR="003D7F38">
        <w:t>HAT SHOULD A SUPPORT PLAN INCLUDE?</w:t>
      </w:r>
      <w:bookmarkEnd w:id="15"/>
    </w:p>
    <w:p w14:paraId="3B45830D" w14:textId="77777777" w:rsidR="006E5779" w:rsidRDefault="006E5779" w:rsidP="003D7F38">
      <w:pPr>
        <w:pStyle w:val="NoSpacing"/>
        <w:spacing w:line="240" w:lineRule="auto"/>
        <w:rPr>
          <w:rFonts w:ascii="Arial" w:hAnsi="Arial" w:cs="Arial"/>
        </w:rPr>
      </w:pPr>
    </w:p>
    <w:p w14:paraId="74C1595E" w14:textId="77777777" w:rsidR="00172C11" w:rsidRPr="003D7F38" w:rsidRDefault="00172C11" w:rsidP="003D7F38">
      <w:pPr>
        <w:pStyle w:val="NoSpacing"/>
        <w:spacing w:line="240" w:lineRule="auto"/>
        <w:rPr>
          <w:rFonts w:ascii="Arial" w:hAnsi="Arial" w:cs="Arial"/>
        </w:rPr>
      </w:pPr>
      <w:r w:rsidRPr="003D7F38">
        <w:rPr>
          <w:rFonts w:ascii="Arial" w:hAnsi="Arial" w:cs="Arial"/>
        </w:rPr>
        <w:t>Details which are required to be present within a support plan will be considered prior to completion. If the patient wishes to complete the plan independently of any optional support, these guidelines will form part of an initial briefing alongside respective patient information. Should the patient wish to complete in conjunction with other support then the responsibility also lies with this professional to bear guidance in mind.</w:t>
      </w:r>
    </w:p>
    <w:p w14:paraId="388E6E93" w14:textId="77777777" w:rsidR="00172C11" w:rsidRPr="003D7F38" w:rsidRDefault="00172C11" w:rsidP="006E5779">
      <w:pPr>
        <w:pStyle w:val="NoSpacing"/>
        <w:spacing w:line="120" w:lineRule="auto"/>
        <w:rPr>
          <w:rFonts w:ascii="Arial" w:hAnsi="Arial" w:cs="Arial"/>
        </w:rPr>
      </w:pPr>
    </w:p>
    <w:p w14:paraId="4B34C7F5" w14:textId="77777777" w:rsidR="00172C11" w:rsidRPr="003D7F38" w:rsidRDefault="00172C11" w:rsidP="003D7F38">
      <w:pPr>
        <w:pStyle w:val="NoSpacing"/>
        <w:spacing w:line="240" w:lineRule="auto"/>
        <w:rPr>
          <w:rFonts w:ascii="Arial" w:hAnsi="Arial" w:cs="Arial"/>
        </w:rPr>
      </w:pPr>
      <w:r w:rsidRPr="003D7F38">
        <w:rPr>
          <w:rFonts w:ascii="Arial" w:hAnsi="Arial" w:cs="Arial"/>
        </w:rPr>
        <w:t>In Control (A National Charity providing guidance on PHBs) provides a paper which outlines key criteria for inclusion in support plans. These criteria need to be answered and evidenced in the plan for sign off and implementation:</w:t>
      </w:r>
    </w:p>
    <w:p w14:paraId="42E7D194" w14:textId="77777777" w:rsidR="00172C11" w:rsidRPr="003D7F38" w:rsidRDefault="00172C11" w:rsidP="003D7F38">
      <w:pPr>
        <w:pStyle w:val="NoSpacing"/>
        <w:spacing w:line="240" w:lineRule="auto"/>
        <w:rPr>
          <w:rFonts w:ascii="Arial" w:hAnsi="Arial" w:cs="Arial"/>
        </w:rPr>
      </w:pPr>
    </w:p>
    <w:p w14:paraId="525FF0DC" w14:textId="77777777" w:rsidR="00172C11" w:rsidRPr="006E5779" w:rsidRDefault="00172C11" w:rsidP="00943F34">
      <w:pPr>
        <w:pStyle w:val="NoSpacing"/>
        <w:numPr>
          <w:ilvl w:val="0"/>
          <w:numId w:val="1"/>
        </w:numPr>
        <w:spacing w:line="240" w:lineRule="auto"/>
        <w:ind w:left="227" w:hanging="227"/>
        <w:rPr>
          <w:rFonts w:ascii="Arial" w:hAnsi="Arial" w:cs="Arial"/>
        </w:rPr>
      </w:pPr>
      <w:r w:rsidRPr="006E5779">
        <w:rPr>
          <w:rFonts w:ascii="Arial" w:hAnsi="Arial" w:cs="Arial"/>
        </w:rPr>
        <w:t>What is important to me and what is important for me?</w:t>
      </w:r>
    </w:p>
    <w:p w14:paraId="45A7F672" w14:textId="77777777" w:rsidR="00172C11" w:rsidRPr="006E5779" w:rsidRDefault="00172C11" w:rsidP="00943F34">
      <w:pPr>
        <w:pStyle w:val="NoSpacing"/>
        <w:numPr>
          <w:ilvl w:val="0"/>
          <w:numId w:val="1"/>
        </w:numPr>
        <w:spacing w:line="240" w:lineRule="auto"/>
        <w:ind w:left="227" w:hanging="227"/>
        <w:rPr>
          <w:rFonts w:ascii="Arial" w:hAnsi="Arial" w:cs="Arial"/>
        </w:rPr>
      </w:pPr>
      <w:r w:rsidRPr="006E5779">
        <w:rPr>
          <w:rFonts w:ascii="Arial" w:hAnsi="Arial" w:cs="Arial"/>
        </w:rPr>
        <w:t>What is working well, that I want to maintain and what is not working well, that I need to change?</w:t>
      </w:r>
    </w:p>
    <w:p w14:paraId="57A65B0A" w14:textId="77777777" w:rsidR="00172C11" w:rsidRPr="006E5779" w:rsidRDefault="00172C11" w:rsidP="00943F34">
      <w:pPr>
        <w:pStyle w:val="NoSpacing"/>
        <w:numPr>
          <w:ilvl w:val="0"/>
          <w:numId w:val="1"/>
        </w:numPr>
        <w:spacing w:line="240" w:lineRule="auto"/>
        <w:ind w:left="227" w:hanging="227"/>
        <w:rPr>
          <w:rFonts w:ascii="Arial" w:hAnsi="Arial" w:cs="Arial"/>
        </w:rPr>
      </w:pPr>
      <w:r w:rsidRPr="006E5779">
        <w:rPr>
          <w:rFonts w:ascii="Arial" w:hAnsi="Arial" w:cs="Arial"/>
        </w:rPr>
        <w:t>How I will be supported to live my chosen lifestyle and manage my health condition?</w:t>
      </w:r>
    </w:p>
    <w:p w14:paraId="23FF707E" w14:textId="77777777" w:rsidR="00172C11" w:rsidRPr="006E5779" w:rsidRDefault="00172C11" w:rsidP="00943F34">
      <w:pPr>
        <w:pStyle w:val="NoSpacing"/>
        <w:numPr>
          <w:ilvl w:val="0"/>
          <w:numId w:val="1"/>
        </w:numPr>
        <w:spacing w:line="240" w:lineRule="auto"/>
        <w:ind w:left="227" w:hanging="227"/>
        <w:rPr>
          <w:rFonts w:ascii="Arial" w:hAnsi="Arial" w:cs="Arial"/>
        </w:rPr>
      </w:pPr>
      <w:r w:rsidRPr="006E5779">
        <w:rPr>
          <w:rFonts w:ascii="Arial" w:hAnsi="Arial" w:cs="Arial"/>
        </w:rPr>
        <w:t>How my personal health budget will be spent?</w:t>
      </w:r>
    </w:p>
    <w:p w14:paraId="198B4DCB" w14:textId="77777777" w:rsidR="00172C11" w:rsidRPr="006E5779" w:rsidRDefault="00172C11" w:rsidP="00943F34">
      <w:pPr>
        <w:pStyle w:val="NoSpacing"/>
        <w:numPr>
          <w:ilvl w:val="0"/>
          <w:numId w:val="1"/>
        </w:numPr>
        <w:spacing w:line="240" w:lineRule="auto"/>
        <w:ind w:left="227" w:hanging="227"/>
        <w:rPr>
          <w:rFonts w:ascii="Arial" w:hAnsi="Arial" w:cs="Arial"/>
        </w:rPr>
      </w:pPr>
      <w:r w:rsidRPr="006E5779">
        <w:rPr>
          <w:rFonts w:ascii="Arial" w:hAnsi="Arial" w:cs="Arial"/>
        </w:rPr>
        <w:t>How my support, treatment or care will be organised and managed?</w:t>
      </w:r>
    </w:p>
    <w:p w14:paraId="10342B2F" w14:textId="77777777" w:rsidR="00172C11" w:rsidRPr="006E5779" w:rsidRDefault="00172C11" w:rsidP="00943F34">
      <w:pPr>
        <w:pStyle w:val="NoSpacing"/>
        <w:numPr>
          <w:ilvl w:val="0"/>
          <w:numId w:val="1"/>
        </w:numPr>
        <w:spacing w:line="240" w:lineRule="auto"/>
        <w:ind w:left="227" w:hanging="227"/>
        <w:rPr>
          <w:rFonts w:ascii="Arial" w:hAnsi="Arial" w:cs="Arial"/>
        </w:rPr>
      </w:pPr>
      <w:r w:rsidRPr="006E5779">
        <w:rPr>
          <w:rFonts w:ascii="Arial" w:hAnsi="Arial" w:cs="Arial"/>
        </w:rPr>
        <w:t xml:space="preserve">How </w:t>
      </w:r>
      <w:proofErr w:type="gramStart"/>
      <w:r w:rsidRPr="006E5779">
        <w:rPr>
          <w:rFonts w:ascii="Arial" w:hAnsi="Arial" w:cs="Arial"/>
        </w:rPr>
        <w:t>I will</w:t>
      </w:r>
      <w:proofErr w:type="gramEnd"/>
      <w:r w:rsidRPr="006E5779">
        <w:rPr>
          <w:rFonts w:ascii="Arial" w:hAnsi="Arial" w:cs="Arial"/>
        </w:rPr>
        <w:t xml:space="preserve"> stay in control of my decision-making?</w:t>
      </w:r>
    </w:p>
    <w:p w14:paraId="3C6953A9" w14:textId="77777777" w:rsidR="00172C11" w:rsidRPr="006E5779" w:rsidRDefault="00172C11" w:rsidP="00943F34">
      <w:pPr>
        <w:pStyle w:val="NoSpacing"/>
        <w:numPr>
          <w:ilvl w:val="0"/>
          <w:numId w:val="1"/>
        </w:numPr>
        <w:spacing w:line="240" w:lineRule="auto"/>
        <w:ind w:left="227" w:hanging="227"/>
        <w:rPr>
          <w:rFonts w:ascii="Arial" w:hAnsi="Arial" w:cs="Arial"/>
        </w:rPr>
      </w:pPr>
      <w:r w:rsidRPr="006E5779">
        <w:rPr>
          <w:rFonts w:ascii="Arial" w:hAnsi="Arial" w:cs="Arial"/>
        </w:rPr>
        <w:t xml:space="preserve">What </w:t>
      </w:r>
      <w:proofErr w:type="gramStart"/>
      <w:r w:rsidRPr="006E5779">
        <w:rPr>
          <w:rFonts w:ascii="Arial" w:hAnsi="Arial" w:cs="Arial"/>
        </w:rPr>
        <w:t>I will</w:t>
      </w:r>
      <w:proofErr w:type="gramEnd"/>
      <w:r w:rsidRPr="006E5779">
        <w:rPr>
          <w:rFonts w:ascii="Arial" w:hAnsi="Arial" w:cs="Arial"/>
        </w:rPr>
        <w:t xml:space="preserve"> do to make this happen (Action Planning)?</w:t>
      </w:r>
    </w:p>
    <w:p w14:paraId="2FBB4CF8" w14:textId="77777777" w:rsidR="00172C11" w:rsidRPr="009256EE" w:rsidRDefault="00172C11" w:rsidP="00172C11">
      <w:pPr>
        <w:spacing w:line="240" w:lineRule="auto"/>
        <w:ind w:left="720"/>
        <w:jc w:val="left"/>
        <w:rPr>
          <w:rFonts w:cs="Arial"/>
          <w:kern w:val="0"/>
          <w:szCs w:val="22"/>
          <w:lang w:eastAsia="en-US"/>
        </w:rPr>
      </w:pPr>
    </w:p>
    <w:p w14:paraId="3F848004" w14:textId="77777777" w:rsidR="00172C11" w:rsidRPr="00B43170" w:rsidRDefault="00172C11" w:rsidP="00B43170">
      <w:pPr>
        <w:pStyle w:val="NoSpacing"/>
        <w:spacing w:line="240" w:lineRule="auto"/>
        <w:rPr>
          <w:rFonts w:ascii="Arial" w:hAnsi="Arial" w:cs="Arial"/>
        </w:rPr>
      </w:pPr>
      <w:r w:rsidRPr="00B43170">
        <w:rPr>
          <w:rFonts w:ascii="Arial" w:hAnsi="Arial" w:cs="Arial"/>
        </w:rPr>
        <w:t>The support plan provides a structure for addressing the above in turn logically, allowing Health Professionals and budget holders to easily refer to and interpret when required.</w:t>
      </w:r>
    </w:p>
    <w:p w14:paraId="592FDC96" w14:textId="77777777" w:rsidR="00172C11" w:rsidRPr="00B43170" w:rsidRDefault="00172C11" w:rsidP="00B43170">
      <w:pPr>
        <w:pStyle w:val="NoSpacing"/>
        <w:spacing w:line="240" w:lineRule="auto"/>
        <w:rPr>
          <w:rFonts w:ascii="Arial" w:hAnsi="Arial" w:cs="Arial"/>
        </w:rPr>
      </w:pPr>
    </w:p>
    <w:p w14:paraId="1C2E5D1B" w14:textId="77777777" w:rsidR="00172C11" w:rsidRPr="00B43170" w:rsidRDefault="00172C11" w:rsidP="00B43170">
      <w:pPr>
        <w:pStyle w:val="NoSpacing"/>
        <w:spacing w:line="240" w:lineRule="auto"/>
        <w:rPr>
          <w:rFonts w:ascii="Arial" w:hAnsi="Arial" w:cs="Arial"/>
        </w:rPr>
      </w:pPr>
      <w:r w:rsidRPr="00B43170">
        <w:rPr>
          <w:rFonts w:ascii="Arial" w:hAnsi="Arial" w:cs="Arial"/>
        </w:rPr>
        <w:t>Clear links need to be evident between the proposed service provision, the outcomes/goals identified by the budget holder and their specified eligible needs.</w:t>
      </w:r>
    </w:p>
    <w:p w14:paraId="39B69CE4" w14:textId="77777777" w:rsidR="00172C11" w:rsidRPr="00B43170" w:rsidRDefault="00172C11" w:rsidP="00B43170">
      <w:pPr>
        <w:pStyle w:val="NoSpacing"/>
        <w:spacing w:line="240" w:lineRule="auto"/>
        <w:rPr>
          <w:rFonts w:ascii="Arial" w:hAnsi="Arial" w:cs="Arial"/>
        </w:rPr>
      </w:pPr>
    </w:p>
    <w:p w14:paraId="2DADA6A1" w14:textId="77777777" w:rsidR="00172C11" w:rsidRPr="00B43170" w:rsidRDefault="00172C11" w:rsidP="00B43170">
      <w:pPr>
        <w:pStyle w:val="NoSpacing"/>
        <w:spacing w:line="240" w:lineRule="auto"/>
        <w:rPr>
          <w:rFonts w:ascii="Arial" w:hAnsi="Arial" w:cs="Arial"/>
        </w:rPr>
      </w:pPr>
      <w:r w:rsidRPr="00B43170">
        <w:rPr>
          <w:rFonts w:ascii="Arial" w:hAnsi="Arial" w:cs="Arial"/>
        </w:rPr>
        <w:t xml:space="preserve">Prioritising prevention and early intervention over more reactive service provision can be beneficial in promotion of greater wellbeing and independence, reducing need for on-going support. As such, clear identification of such services can be beneficial in sign </w:t>
      </w:r>
      <w:proofErr w:type="gramStart"/>
      <w:r w:rsidRPr="00B43170">
        <w:rPr>
          <w:rFonts w:ascii="Arial" w:hAnsi="Arial" w:cs="Arial"/>
        </w:rPr>
        <w:t>off of</w:t>
      </w:r>
      <w:proofErr w:type="gramEnd"/>
      <w:r w:rsidRPr="00B43170">
        <w:rPr>
          <w:rFonts w:ascii="Arial" w:hAnsi="Arial" w:cs="Arial"/>
        </w:rPr>
        <w:t xml:space="preserve"> the support plan.</w:t>
      </w:r>
    </w:p>
    <w:p w14:paraId="79DE331F" w14:textId="77777777" w:rsidR="00172C11" w:rsidRPr="00B43170" w:rsidRDefault="00172C11" w:rsidP="00B43170">
      <w:pPr>
        <w:pStyle w:val="NoSpacing"/>
        <w:spacing w:line="240" w:lineRule="auto"/>
        <w:rPr>
          <w:rFonts w:ascii="Arial" w:hAnsi="Arial" w:cs="Arial"/>
        </w:rPr>
      </w:pPr>
    </w:p>
    <w:p w14:paraId="5C5C14C9" w14:textId="77777777" w:rsidR="00172C11" w:rsidRPr="00B43170" w:rsidRDefault="00172C11" w:rsidP="00B43170">
      <w:pPr>
        <w:pStyle w:val="NoSpacing"/>
        <w:spacing w:line="240" w:lineRule="auto"/>
        <w:rPr>
          <w:rFonts w:ascii="Arial" w:hAnsi="Arial" w:cs="Arial"/>
        </w:rPr>
      </w:pPr>
      <w:r w:rsidRPr="00B43170">
        <w:rPr>
          <w:rFonts w:ascii="Arial" w:hAnsi="Arial" w:cs="Arial"/>
        </w:rPr>
        <w:lastRenderedPageBreak/>
        <w:t>Clear and concise action planning needs to be present, breaking down the implementation into a series of actions indicating responsibilities and any respective timescales.</w:t>
      </w:r>
    </w:p>
    <w:p w14:paraId="53964BD8" w14:textId="77777777" w:rsidR="00172C11" w:rsidRPr="00B43170" w:rsidRDefault="00172C11" w:rsidP="00B43170">
      <w:pPr>
        <w:pStyle w:val="NoSpacing"/>
        <w:spacing w:line="240" w:lineRule="auto"/>
        <w:rPr>
          <w:rFonts w:ascii="Arial" w:hAnsi="Arial" w:cs="Arial"/>
        </w:rPr>
      </w:pPr>
    </w:p>
    <w:p w14:paraId="47E87BBA" w14:textId="77777777" w:rsidR="00172C11" w:rsidRDefault="00172C11" w:rsidP="00B43170">
      <w:pPr>
        <w:pStyle w:val="NoSpacing"/>
        <w:spacing w:line="240" w:lineRule="auto"/>
        <w:rPr>
          <w:rFonts w:ascii="Arial" w:hAnsi="Arial" w:cs="Arial"/>
        </w:rPr>
      </w:pPr>
      <w:r w:rsidRPr="00B43170">
        <w:rPr>
          <w:rFonts w:ascii="Arial" w:hAnsi="Arial" w:cs="Arial"/>
        </w:rPr>
        <w:t>Choice of the mechanism of receipt and management of budget, i.e. from the three payment options to be made available.</w:t>
      </w:r>
    </w:p>
    <w:p w14:paraId="3CDF7BBE" w14:textId="77777777" w:rsidR="00103DD3" w:rsidRDefault="00103DD3" w:rsidP="00B43170">
      <w:pPr>
        <w:pStyle w:val="NoSpacing"/>
        <w:spacing w:line="240" w:lineRule="auto"/>
        <w:rPr>
          <w:rFonts w:ascii="Arial" w:hAnsi="Arial" w:cs="Arial"/>
        </w:rPr>
      </w:pPr>
    </w:p>
    <w:p w14:paraId="649AF473" w14:textId="77777777" w:rsidR="00103DD3" w:rsidRPr="002B5A68" w:rsidRDefault="00103DD3" w:rsidP="002B5A68">
      <w:pPr>
        <w:pStyle w:val="NoSpacing"/>
        <w:spacing w:line="240" w:lineRule="auto"/>
        <w:jc w:val="left"/>
        <w:rPr>
          <w:rFonts w:ascii="Arial" w:hAnsi="Arial" w:cs="Arial"/>
        </w:rPr>
      </w:pPr>
      <w:r w:rsidRPr="002B5A68">
        <w:rPr>
          <w:rFonts w:ascii="Arial" w:hAnsi="Arial" w:cs="Arial"/>
        </w:rPr>
        <w:t>Additional elements may be required to be funded within the PHB such as the following (unplanned contingencies):</w:t>
      </w:r>
    </w:p>
    <w:p w14:paraId="27A0C41C" w14:textId="77777777" w:rsidR="00314236" w:rsidRPr="002B5A68" w:rsidRDefault="00314236" w:rsidP="002B5A68">
      <w:pPr>
        <w:pStyle w:val="NoSpacing"/>
        <w:spacing w:line="240" w:lineRule="auto"/>
        <w:jc w:val="left"/>
        <w:rPr>
          <w:rFonts w:ascii="Arial" w:hAnsi="Arial" w:cs="Arial"/>
        </w:rPr>
      </w:pPr>
    </w:p>
    <w:p w14:paraId="5D9021F7" w14:textId="5346CC29" w:rsidR="00103DD3" w:rsidRPr="00266C9B" w:rsidRDefault="00103DD3" w:rsidP="00266C9B">
      <w:pPr>
        <w:pStyle w:val="NoSpacing"/>
        <w:numPr>
          <w:ilvl w:val="0"/>
          <w:numId w:val="9"/>
        </w:numPr>
        <w:spacing w:line="240" w:lineRule="auto"/>
        <w:jc w:val="left"/>
        <w:rPr>
          <w:rFonts w:ascii="Arial" w:hAnsi="Arial" w:cs="Arial"/>
        </w:rPr>
      </w:pPr>
      <w:r w:rsidRPr="002B5A68">
        <w:rPr>
          <w:rFonts w:ascii="Arial" w:hAnsi="Arial" w:cs="Arial"/>
        </w:rPr>
        <w:t>Redundancy costs (if not already covered by insurance policy</w:t>
      </w:r>
      <w:r w:rsidR="00266C9B">
        <w:rPr>
          <w:rFonts w:ascii="Arial" w:hAnsi="Arial" w:cs="Arial"/>
        </w:rPr>
        <w:t>) when a service provided by PA</w:t>
      </w:r>
      <w:r w:rsidRPr="002B5A68">
        <w:rPr>
          <w:rFonts w:ascii="Arial" w:hAnsi="Arial" w:cs="Arial"/>
        </w:rPr>
        <w:t>s ceases, if the PA is entitled</w:t>
      </w:r>
      <w:r w:rsidR="00266C9B">
        <w:rPr>
          <w:rFonts w:ascii="Arial" w:hAnsi="Arial" w:cs="Arial"/>
        </w:rPr>
        <w:t xml:space="preserve">.  </w:t>
      </w:r>
      <w:r w:rsidR="00266C9B" w:rsidRPr="00266C9B">
        <w:rPr>
          <w:rFonts w:ascii="Arial" w:hAnsi="Arial" w:cs="Arial"/>
        </w:rPr>
        <w:t>It is important to note that if insurance costs are included in your care plan a copy is required to be sent to the CCG once obtained to keep on record and if appropriate insurance is not in place the person will be directly responsible to fund any PA’s redundancy from their own private estate.</w:t>
      </w:r>
    </w:p>
    <w:p w14:paraId="7D73D89E" w14:textId="77777777" w:rsidR="00103DD3" w:rsidRPr="002B5A68" w:rsidRDefault="00103DD3" w:rsidP="002B5A68">
      <w:pPr>
        <w:pStyle w:val="NoSpacing"/>
        <w:numPr>
          <w:ilvl w:val="0"/>
          <w:numId w:val="9"/>
        </w:numPr>
        <w:spacing w:line="240" w:lineRule="auto"/>
        <w:jc w:val="left"/>
        <w:rPr>
          <w:rFonts w:ascii="Arial" w:hAnsi="Arial" w:cs="Arial"/>
        </w:rPr>
      </w:pPr>
      <w:r w:rsidRPr="002B5A68">
        <w:rPr>
          <w:rFonts w:ascii="Arial" w:hAnsi="Arial" w:cs="Arial"/>
        </w:rPr>
        <w:t>M</w:t>
      </w:r>
      <w:r w:rsidR="00314236" w:rsidRPr="002B5A68">
        <w:rPr>
          <w:rFonts w:ascii="Arial" w:hAnsi="Arial" w:cs="Arial"/>
        </w:rPr>
        <w:t xml:space="preserve">aternity </w:t>
      </w:r>
      <w:proofErr w:type="gramStart"/>
      <w:r w:rsidR="00314236" w:rsidRPr="002B5A68">
        <w:rPr>
          <w:rFonts w:ascii="Arial" w:hAnsi="Arial" w:cs="Arial"/>
        </w:rPr>
        <w:t>pay</w:t>
      </w:r>
      <w:proofErr w:type="gramEnd"/>
      <w:r w:rsidR="00314236" w:rsidRPr="002B5A68">
        <w:rPr>
          <w:rFonts w:ascii="Arial" w:hAnsi="Arial" w:cs="Arial"/>
        </w:rPr>
        <w:t xml:space="preserve"> if the PA is entit</w:t>
      </w:r>
      <w:r w:rsidRPr="002B5A68">
        <w:rPr>
          <w:rFonts w:ascii="Arial" w:hAnsi="Arial" w:cs="Arial"/>
        </w:rPr>
        <w:t>led</w:t>
      </w:r>
    </w:p>
    <w:p w14:paraId="604A2812" w14:textId="77777777" w:rsidR="00103DD3" w:rsidRPr="002B5A68" w:rsidRDefault="00103DD3" w:rsidP="002B5A68">
      <w:pPr>
        <w:pStyle w:val="NoSpacing"/>
        <w:numPr>
          <w:ilvl w:val="0"/>
          <w:numId w:val="9"/>
        </w:numPr>
        <w:spacing w:line="240" w:lineRule="auto"/>
        <w:jc w:val="left"/>
        <w:rPr>
          <w:rFonts w:ascii="Arial" w:hAnsi="Arial" w:cs="Arial"/>
        </w:rPr>
      </w:pPr>
      <w:r w:rsidRPr="002B5A68">
        <w:rPr>
          <w:rFonts w:ascii="Arial" w:hAnsi="Arial" w:cs="Arial"/>
        </w:rPr>
        <w:t>Long term sickness</w:t>
      </w:r>
    </w:p>
    <w:p w14:paraId="17F0325A" w14:textId="42DBDF8D" w:rsidR="00103DD3" w:rsidRPr="00266C9B" w:rsidRDefault="00103DD3" w:rsidP="00266C9B">
      <w:pPr>
        <w:pStyle w:val="NoSpacing"/>
        <w:numPr>
          <w:ilvl w:val="0"/>
          <w:numId w:val="9"/>
        </w:numPr>
        <w:spacing w:line="240" w:lineRule="auto"/>
        <w:jc w:val="left"/>
        <w:rPr>
          <w:rFonts w:ascii="Arial" w:hAnsi="Arial" w:cs="Arial"/>
        </w:rPr>
      </w:pPr>
      <w:r w:rsidRPr="002B5A68">
        <w:rPr>
          <w:rFonts w:ascii="Arial" w:hAnsi="Arial" w:cs="Arial"/>
        </w:rPr>
        <w:t>Training to support newly employed staff and specialised training from health professionals if required</w:t>
      </w:r>
      <w:r w:rsidR="00266C9B">
        <w:rPr>
          <w:rFonts w:ascii="Arial" w:hAnsi="Arial" w:cs="Arial"/>
        </w:rPr>
        <w:t xml:space="preserve"> w</w:t>
      </w:r>
      <w:r w:rsidR="00266C9B" w:rsidRPr="00266C9B">
        <w:rPr>
          <w:rFonts w:ascii="Arial" w:hAnsi="Arial" w:cs="Arial"/>
        </w:rPr>
        <w:t>hich may include competency sign off from the relevant professional.</w:t>
      </w:r>
    </w:p>
    <w:p w14:paraId="74C86B2D" w14:textId="77777777" w:rsidR="00103DD3" w:rsidRPr="002B5A68" w:rsidRDefault="002B5A68" w:rsidP="002B5A68">
      <w:pPr>
        <w:pStyle w:val="NoSpacing"/>
        <w:numPr>
          <w:ilvl w:val="0"/>
          <w:numId w:val="9"/>
        </w:numPr>
        <w:spacing w:line="240" w:lineRule="auto"/>
        <w:jc w:val="left"/>
        <w:rPr>
          <w:rFonts w:ascii="Arial" w:hAnsi="Arial" w:cs="Arial"/>
        </w:rPr>
      </w:pPr>
      <w:r>
        <w:rPr>
          <w:rFonts w:ascii="Arial" w:hAnsi="Arial" w:cs="Arial"/>
        </w:rPr>
        <w:t>P</w:t>
      </w:r>
      <w:r w:rsidR="00103DD3" w:rsidRPr="002B5A68">
        <w:rPr>
          <w:rFonts w:ascii="Arial" w:hAnsi="Arial" w:cs="Arial"/>
        </w:rPr>
        <w:t xml:space="preserve">ensions </w:t>
      </w:r>
    </w:p>
    <w:p w14:paraId="5CF9BAAD" w14:textId="10E08F4A" w:rsidR="002B5A68" w:rsidRPr="00B43170" w:rsidRDefault="002B5A68" w:rsidP="002B5A68">
      <w:pPr>
        <w:pStyle w:val="NoSpacing"/>
        <w:spacing w:line="240" w:lineRule="auto"/>
        <w:jc w:val="left"/>
        <w:rPr>
          <w:rFonts w:ascii="Arial" w:hAnsi="Arial" w:cs="Arial"/>
        </w:rPr>
      </w:pPr>
    </w:p>
    <w:p w14:paraId="737B5C5B" w14:textId="77777777" w:rsidR="00172C11" w:rsidRDefault="00C177DB" w:rsidP="00E12FA4">
      <w:pPr>
        <w:pStyle w:val="Heading1"/>
      </w:pPr>
      <w:bookmarkStart w:id="16" w:name="_Toc26875380"/>
      <w:r>
        <w:t>13</w:t>
      </w:r>
      <w:r w:rsidR="00E12FA4">
        <w:t>. WHAT SHOULD BE CONSIDERED WHEN DRAFTING A SUPPORT PLAN?</w:t>
      </w:r>
      <w:bookmarkEnd w:id="16"/>
    </w:p>
    <w:p w14:paraId="5E930345" w14:textId="77777777" w:rsidR="00E12FA4" w:rsidRPr="00E12FA4" w:rsidRDefault="00E12FA4" w:rsidP="00E12FA4">
      <w:pPr>
        <w:pStyle w:val="NoSpacing"/>
        <w:spacing w:line="240" w:lineRule="auto"/>
        <w:rPr>
          <w:rFonts w:ascii="Arial" w:hAnsi="Arial" w:cs="Arial"/>
        </w:rPr>
      </w:pPr>
    </w:p>
    <w:p w14:paraId="48F163C7" w14:textId="77777777" w:rsidR="00172C11" w:rsidRPr="00E12FA4" w:rsidRDefault="00172C11" w:rsidP="00E12FA4">
      <w:pPr>
        <w:pStyle w:val="NoSpacing"/>
        <w:spacing w:line="240" w:lineRule="auto"/>
        <w:rPr>
          <w:rFonts w:ascii="Arial" w:hAnsi="Arial" w:cs="Arial"/>
        </w:rPr>
      </w:pPr>
      <w:r w:rsidRPr="00E12FA4">
        <w:rPr>
          <w:rFonts w:ascii="Arial" w:hAnsi="Arial" w:cs="Arial"/>
        </w:rPr>
        <w:t>The personalisation of healthcare and the move to person centred commissioning means a substantial culture change. We need to balance our commitment to a continued duty of care and the appropriate management of risk, with allowing patients to find innovative ways of managing their condition in a position where their expertise is invaluable.</w:t>
      </w:r>
    </w:p>
    <w:p w14:paraId="6F8DB0D7" w14:textId="77777777" w:rsidR="00172C11" w:rsidRPr="00E12FA4" w:rsidRDefault="00172C11" w:rsidP="00E12FA4">
      <w:pPr>
        <w:pStyle w:val="NoSpacing"/>
        <w:spacing w:line="240" w:lineRule="auto"/>
        <w:rPr>
          <w:rFonts w:ascii="Arial" w:hAnsi="Arial" w:cs="Arial"/>
        </w:rPr>
      </w:pPr>
    </w:p>
    <w:p w14:paraId="29C6295C" w14:textId="77777777" w:rsidR="00E12FA4" w:rsidRDefault="00E12FA4" w:rsidP="00E12FA4">
      <w:pPr>
        <w:pStyle w:val="NoSpacing"/>
        <w:spacing w:line="240" w:lineRule="auto"/>
        <w:jc w:val="left"/>
        <w:rPr>
          <w:rFonts w:ascii="Arial" w:hAnsi="Arial" w:cs="Arial"/>
        </w:rPr>
      </w:pPr>
      <w:r>
        <w:rPr>
          <w:rFonts w:ascii="Arial" w:hAnsi="Arial" w:cs="Arial"/>
          <w:u w:val="single"/>
        </w:rPr>
        <w:t xml:space="preserve">Risk </w:t>
      </w:r>
      <w:r w:rsidR="00172C11" w:rsidRPr="00E12FA4">
        <w:rPr>
          <w:rFonts w:ascii="Arial" w:hAnsi="Arial" w:cs="Arial"/>
          <w:u w:val="single"/>
        </w:rPr>
        <w:t>Management</w:t>
      </w:r>
    </w:p>
    <w:p w14:paraId="322D6EA3" w14:textId="77777777" w:rsidR="00172C11" w:rsidRPr="00E12FA4" w:rsidRDefault="00172C11" w:rsidP="00E12FA4">
      <w:pPr>
        <w:pStyle w:val="NoSpacing"/>
        <w:spacing w:line="240" w:lineRule="auto"/>
        <w:jc w:val="left"/>
        <w:rPr>
          <w:rFonts w:ascii="Arial" w:hAnsi="Arial" w:cs="Arial"/>
          <w:i/>
          <w:u w:val="single"/>
        </w:rPr>
      </w:pPr>
      <w:r w:rsidRPr="00E12FA4">
        <w:rPr>
          <w:rFonts w:ascii="Arial" w:hAnsi="Arial" w:cs="Arial"/>
        </w:rPr>
        <w:br/>
      </w:r>
      <w:r w:rsidRPr="00E12FA4">
        <w:rPr>
          <w:rFonts w:ascii="Arial" w:hAnsi="Arial" w:cs="Arial"/>
          <w:i/>
        </w:rPr>
        <w:t xml:space="preserve">“We need to adopt a more risk enabling approach when thinking about personal health budgets. At one extreme there are some things that should not be approved because there is evidence that they are harmful…At the other end of the spectrum there are things that we know are safe but where we do not have the evidence that they will work…Individuals are used to thinking about risk and may have a different opinion of what risk(s) are acceptable to them. We will need to consider appropriate treatment or service on a </w:t>
      </w:r>
      <w:proofErr w:type="gramStart"/>
      <w:r w:rsidRPr="00E12FA4">
        <w:rPr>
          <w:rFonts w:ascii="Arial" w:hAnsi="Arial" w:cs="Arial"/>
          <w:i/>
        </w:rPr>
        <w:t>case by case</w:t>
      </w:r>
      <w:proofErr w:type="gramEnd"/>
      <w:r w:rsidRPr="00E12FA4">
        <w:rPr>
          <w:rFonts w:ascii="Arial" w:hAnsi="Arial" w:cs="Arial"/>
          <w:i/>
        </w:rPr>
        <w:t xml:space="preserve"> basis, thinking holistically about the individual and what may or may not work for them.” </w:t>
      </w:r>
    </w:p>
    <w:p w14:paraId="13FA303F" w14:textId="77777777" w:rsidR="00172C11" w:rsidRPr="00E12FA4" w:rsidRDefault="00172C11" w:rsidP="00E12FA4">
      <w:pPr>
        <w:pStyle w:val="NoSpacing"/>
        <w:spacing w:line="240" w:lineRule="auto"/>
        <w:rPr>
          <w:rFonts w:ascii="Arial" w:hAnsi="Arial" w:cs="Arial"/>
          <w:i/>
          <w:kern w:val="0"/>
        </w:rPr>
      </w:pPr>
    </w:p>
    <w:p w14:paraId="001989E0" w14:textId="77777777" w:rsidR="00172C11" w:rsidRPr="00E12FA4" w:rsidRDefault="00172C11" w:rsidP="00E12FA4">
      <w:pPr>
        <w:pStyle w:val="NoSpacing"/>
        <w:spacing w:line="240" w:lineRule="auto"/>
        <w:rPr>
          <w:rFonts w:ascii="Arial" w:hAnsi="Arial" w:cs="Arial"/>
        </w:rPr>
      </w:pPr>
      <w:r w:rsidRPr="00E12FA4">
        <w:rPr>
          <w:rFonts w:ascii="Arial" w:hAnsi="Arial" w:cs="Arial"/>
        </w:rPr>
        <w:t>The three governing principles for effective risk management highlighted by the Department of Health (10) are:</w:t>
      </w:r>
    </w:p>
    <w:p w14:paraId="6ECB178F" w14:textId="77777777" w:rsidR="00172C11" w:rsidRPr="009256EE" w:rsidRDefault="00172C11" w:rsidP="00172C11">
      <w:pPr>
        <w:spacing w:line="240" w:lineRule="auto"/>
        <w:ind w:left="720"/>
        <w:jc w:val="left"/>
        <w:rPr>
          <w:rFonts w:cs="Arial"/>
          <w:kern w:val="0"/>
          <w:szCs w:val="22"/>
          <w:lang w:eastAsia="en-US"/>
        </w:rPr>
      </w:pPr>
    </w:p>
    <w:p w14:paraId="0053CA35" w14:textId="77777777" w:rsidR="00172C11" w:rsidRPr="00E12FA4" w:rsidRDefault="00172C11" w:rsidP="00943F34">
      <w:pPr>
        <w:pStyle w:val="NoSpacing"/>
        <w:numPr>
          <w:ilvl w:val="0"/>
          <w:numId w:val="1"/>
        </w:numPr>
        <w:spacing w:line="240" w:lineRule="auto"/>
        <w:ind w:left="227" w:hanging="227"/>
        <w:rPr>
          <w:rFonts w:ascii="Arial" w:hAnsi="Arial" w:cs="Arial"/>
        </w:rPr>
      </w:pPr>
      <w:r w:rsidRPr="00E12FA4">
        <w:rPr>
          <w:rFonts w:ascii="Arial" w:hAnsi="Arial" w:cs="Arial"/>
        </w:rPr>
        <w:t xml:space="preserve">People have the right to live their lives to the full </w:t>
      </w:r>
      <w:proofErr w:type="gramStart"/>
      <w:r w:rsidRPr="00E12FA4">
        <w:rPr>
          <w:rFonts w:ascii="Arial" w:hAnsi="Arial" w:cs="Arial"/>
        </w:rPr>
        <w:t>as long as</w:t>
      </w:r>
      <w:proofErr w:type="gramEnd"/>
      <w:r w:rsidRPr="00E12FA4">
        <w:rPr>
          <w:rFonts w:ascii="Arial" w:hAnsi="Arial" w:cs="Arial"/>
        </w:rPr>
        <w:t xml:space="preserve"> that doesn’t stop others from doing the same. </w:t>
      </w:r>
    </w:p>
    <w:p w14:paraId="2980FABE" w14:textId="77777777" w:rsidR="00172C11" w:rsidRPr="00E12FA4" w:rsidRDefault="00172C11" w:rsidP="00943F34">
      <w:pPr>
        <w:pStyle w:val="NoSpacing"/>
        <w:numPr>
          <w:ilvl w:val="0"/>
          <w:numId w:val="1"/>
        </w:numPr>
        <w:spacing w:line="240" w:lineRule="auto"/>
        <w:ind w:left="227" w:hanging="227"/>
        <w:rPr>
          <w:rFonts w:ascii="Arial" w:hAnsi="Arial" w:cs="Arial"/>
        </w:rPr>
      </w:pPr>
      <w:r w:rsidRPr="00E12FA4">
        <w:rPr>
          <w:rFonts w:ascii="Arial" w:hAnsi="Arial" w:cs="Arial"/>
        </w:rPr>
        <w:t xml:space="preserve">Acknowledge that there will always be some risk, and that trying to remove it altogether can outweigh the </w:t>
      </w:r>
      <w:proofErr w:type="gramStart"/>
      <w:r w:rsidRPr="00E12FA4">
        <w:rPr>
          <w:rFonts w:ascii="Arial" w:hAnsi="Arial" w:cs="Arial"/>
        </w:rPr>
        <w:t>quality of life</w:t>
      </w:r>
      <w:proofErr w:type="gramEnd"/>
      <w:r w:rsidRPr="00E12FA4">
        <w:rPr>
          <w:rFonts w:ascii="Arial" w:hAnsi="Arial" w:cs="Arial"/>
        </w:rPr>
        <w:t xml:space="preserve"> benefits for the person. </w:t>
      </w:r>
    </w:p>
    <w:p w14:paraId="54201A4C" w14:textId="77777777" w:rsidR="00172C11" w:rsidRPr="00E12FA4" w:rsidRDefault="00172C11" w:rsidP="00943F34">
      <w:pPr>
        <w:pStyle w:val="NoSpacing"/>
        <w:numPr>
          <w:ilvl w:val="0"/>
          <w:numId w:val="1"/>
        </w:numPr>
        <w:spacing w:line="240" w:lineRule="auto"/>
        <w:ind w:left="227" w:hanging="227"/>
        <w:rPr>
          <w:rFonts w:ascii="Arial" w:hAnsi="Arial" w:cs="Arial"/>
        </w:rPr>
      </w:pPr>
      <w:r w:rsidRPr="00E12FA4">
        <w:rPr>
          <w:rFonts w:ascii="Arial" w:hAnsi="Arial" w:cs="Arial"/>
        </w:rPr>
        <w:t xml:space="preserve">Continue existing arrangements for safeguarding people. </w:t>
      </w:r>
    </w:p>
    <w:p w14:paraId="6E9DC493" w14:textId="77777777" w:rsidR="00172C11" w:rsidRPr="00E12FA4" w:rsidRDefault="00172C11" w:rsidP="00E12FA4">
      <w:pPr>
        <w:pStyle w:val="NoSpacing"/>
        <w:spacing w:line="240" w:lineRule="auto"/>
        <w:rPr>
          <w:rFonts w:ascii="Arial" w:hAnsi="Arial" w:cs="Arial"/>
        </w:rPr>
      </w:pPr>
    </w:p>
    <w:p w14:paraId="358B3BFB" w14:textId="77777777" w:rsidR="00172C11" w:rsidRPr="00E12FA4" w:rsidRDefault="00172C11" w:rsidP="00E12FA4">
      <w:pPr>
        <w:pStyle w:val="NoSpacing"/>
        <w:spacing w:line="240" w:lineRule="auto"/>
        <w:rPr>
          <w:rFonts w:ascii="Arial" w:hAnsi="Arial" w:cs="Arial"/>
        </w:rPr>
      </w:pPr>
      <w:r w:rsidRPr="00E12FA4">
        <w:rPr>
          <w:rFonts w:ascii="Arial" w:hAnsi="Arial" w:cs="Arial"/>
        </w:rPr>
        <w:t xml:space="preserve">If risks are identified following the support planning process which remain unresolved then all efforts must be made to mitigate them to a level acceptable to both the NHS team and the prospective budget holder. Difficult decisions and </w:t>
      </w:r>
      <w:proofErr w:type="gramStart"/>
      <w:r w:rsidRPr="00E12FA4">
        <w:rPr>
          <w:rFonts w:ascii="Arial" w:hAnsi="Arial" w:cs="Arial"/>
        </w:rPr>
        <w:t>high cost</w:t>
      </w:r>
      <w:proofErr w:type="gramEnd"/>
      <w:r w:rsidRPr="00E12FA4">
        <w:rPr>
          <w:rFonts w:ascii="Arial" w:hAnsi="Arial" w:cs="Arial"/>
        </w:rPr>
        <w:t xml:space="preserve"> packages will be escalated to a Risk and Quality Panel which will establish a resolution and authorise funding of these cases.</w:t>
      </w:r>
    </w:p>
    <w:p w14:paraId="3988DA56" w14:textId="77777777" w:rsidR="00172C11" w:rsidRPr="00E12FA4" w:rsidRDefault="00172C11" w:rsidP="00E12FA4">
      <w:pPr>
        <w:pStyle w:val="NoSpacing"/>
        <w:spacing w:line="240" w:lineRule="auto"/>
        <w:rPr>
          <w:rFonts w:ascii="Arial" w:hAnsi="Arial" w:cs="Arial"/>
        </w:rPr>
      </w:pPr>
    </w:p>
    <w:p w14:paraId="522CDA07" w14:textId="77777777" w:rsidR="00172C11" w:rsidRPr="00E12FA4" w:rsidRDefault="00172C11" w:rsidP="00E12FA4">
      <w:pPr>
        <w:pStyle w:val="NoSpacing"/>
        <w:spacing w:line="240" w:lineRule="auto"/>
        <w:rPr>
          <w:rFonts w:ascii="Arial" w:hAnsi="Arial" w:cs="Arial"/>
        </w:rPr>
      </w:pPr>
      <w:r w:rsidRPr="00E12FA4">
        <w:rPr>
          <w:rFonts w:ascii="Arial" w:hAnsi="Arial" w:cs="Arial"/>
        </w:rPr>
        <w:t xml:space="preserve">The Risk and Quality Panel consists of a group of professionals from the CCG, Local Authority and Commissioned services who examine unresolved risks outside of support planning and review. Examples include, budget holder capacity, safeguarding concerns, endangerment of third parties, </w:t>
      </w:r>
      <w:r w:rsidRPr="00E12FA4">
        <w:rPr>
          <w:rFonts w:ascii="Arial" w:hAnsi="Arial" w:cs="Arial"/>
        </w:rPr>
        <w:lastRenderedPageBreak/>
        <w:t xml:space="preserve">legal/regulatory issues, misuse of funds, requested service availability, </w:t>
      </w:r>
      <w:r w:rsidR="00546B09" w:rsidRPr="00E12FA4">
        <w:rPr>
          <w:rFonts w:ascii="Arial" w:hAnsi="Arial" w:cs="Arial"/>
        </w:rPr>
        <w:t>advice</w:t>
      </w:r>
      <w:r w:rsidRPr="00E12FA4">
        <w:rPr>
          <w:rFonts w:ascii="Arial" w:hAnsi="Arial" w:cs="Arial"/>
        </w:rPr>
        <w:t xml:space="preserve"> and support for unresolved complex cases and </w:t>
      </w:r>
      <w:proofErr w:type="gramStart"/>
      <w:r w:rsidRPr="00E12FA4">
        <w:rPr>
          <w:rFonts w:ascii="Arial" w:hAnsi="Arial" w:cs="Arial"/>
        </w:rPr>
        <w:t>high cost</w:t>
      </w:r>
      <w:proofErr w:type="gramEnd"/>
      <w:r w:rsidRPr="00E12FA4">
        <w:rPr>
          <w:rFonts w:ascii="Arial" w:hAnsi="Arial" w:cs="Arial"/>
        </w:rPr>
        <w:t xml:space="preserve"> packages of care and support.</w:t>
      </w:r>
    </w:p>
    <w:p w14:paraId="1DB50EA5" w14:textId="77777777" w:rsidR="00172C11" w:rsidRPr="00E12FA4" w:rsidRDefault="00172C11" w:rsidP="00E12FA4">
      <w:pPr>
        <w:pStyle w:val="NoSpacing"/>
        <w:spacing w:line="240" w:lineRule="auto"/>
        <w:rPr>
          <w:rFonts w:ascii="Arial" w:hAnsi="Arial" w:cs="Arial"/>
        </w:rPr>
      </w:pPr>
    </w:p>
    <w:p w14:paraId="45FF8A16" w14:textId="77777777" w:rsidR="00172C11" w:rsidRPr="00E12FA4" w:rsidRDefault="00172C11" w:rsidP="00E12FA4">
      <w:pPr>
        <w:pStyle w:val="NoSpacing"/>
        <w:spacing w:line="240" w:lineRule="auto"/>
        <w:rPr>
          <w:rFonts w:ascii="Arial" w:hAnsi="Arial" w:cs="Arial"/>
        </w:rPr>
      </w:pPr>
      <w:r w:rsidRPr="00E12FA4">
        <w:rPr>
          <w:rFonts w:ascii="Arial" w:hAnsi="Arial" w:cs="Arial"/>
        </w:rPr>
        <w:t>When a patient has capacity to decide to live with a level of risk, then they are entitled to do so. The distinction between enabling individuals to live with reasonable risk and putting an individual at risk needs to be kept in mind and balanced with NELCCG’s duty of care to its patients.</w:t>
      </w:r>
    </w:p>
    <w:p w14:paraId="77614608" w14:textId="77777777" w:rsidR="00172C11" w:rsidRPr="00E12FA4" w:rsidRDefault="00172C11" w:rsidP="00E12FA4">
      <w:pPr>
        <w:pStyle w:val="NoSpacing"/>
        <w:spacing w:line="240" w:lineRule="auto"/>
        <w:rPr>
          <w:rFonts w:ascii="Arial" w:hAnsi="Arial" w:cs="Arial"/>
        </w:rPr>
      </w:pPr>
    </w:p>
    <w:p w14:paraId="69C88B27" w14:textId="77777777" w:rsidR="00172C11" w:rsidRDefault="00172C11" w:rsidP="00E12FA4">
      <w:pPr>
        <w:pStyle w:val="NoSpacing"/>
        <w:spacing w:line="240" w:lineRule="auto"/>
        <w:rPr>
          <w:rFonts w:ascii="Arial" w:hAnsi="Arial" w:cs="Arial"/>
        </w:rPr>
      </w:pPr>
      <w:r w:rsidRPr="00E12FA4">
        <w:rPr>
          <w:rFonts w:ascii="Arial" w:hAnsi="Arial" w:cs="Arial"/>
        </w:rPr>
        <w:t>The Risk and Quality panel is required to bear in mind that the allocation of any resources to support any individual patient may reduce the availability of resources for investments in agreed services for the wider CCG patient population.</w:t>
      </w:r>
    </w:p>
    <w:p w14:paraId="4D8F46E3" w14:textId="77777777" w:rsidR="00103DD3" w:rsidRDefault="00103DD3" w:rsidP="00E12FA4">
      <w:pPr>
        <w:pStyle w:val="NoSpacing"/>
        <w:spacing w:line="240" w:lineRule="auto"/>
        <w:rPr>
          <w:rFonts w:ascii="Arial" w:hAnsi="Arial" w:cs="Arial"/>
        </w:rPr>
      </w:pPr>
    </w:p>
    <w:p w14:paraId="0C9F45A4" w14:textId="77777777" w:rsidR="00103DD3" w:rsidRPr="002B5A68" w:rsidRDefault="00103DD3" w:rsidP="00103DD3">
      <w:pPr>
        <w:pStyle w:val="NoSpacing"/>
        <w:spacing w:line="240" w:lineRule="auto"/>
        <w:rPr>
          <w:rFonts w:ascii="Arial" w:hAnsi="Arial" w:cs="Arial"/>
        </w:rPr>
      </w:pPr>
      <w:r w:rsidRPr="002B5A68">
        <w:rPr>
          <w:rFonts w:ascii="Arial" w:hAnsi="Arial" w:cs="Arial"/>
        </w:rPr>
        <w:t>North East Lincolnshire is responsible for authorising PHB’s and has an obligation to ensure that:</w:t>
      </w:r>
    </w:p>
    <w:p w14:paraId="553F4984" w14:textId="77777777" w:rsidR="00314236" w:rsidRPr="002B5A68" w:rsidRDefault="00314236" w:rsidP="00103DD3">
      <w:pPr>
        <w:pStyle w:val="NoSpacing"/>
        <w:spacing w:line="240" w:lineRule="auto"/>
        <w:rPr>
          <w:rFonts w:ascii="Arial" w:hAnsi="Arial" w:cs="Arial"/>
        </w:rPr>
      </w:pPr>
    </w:p>
    <w:p w14:paraId="77F43BD8" w14:textId="77777777" w:rsidR="00103DD3" w:rsidRPr="002B5A68" w:rsidRDefault="00103DD3" w:rsidP="00103DD3">
      <w:pPr>
        <w:pStyle w:val="NoSpacing"/>
        <w:numPr>
          <w:ilvl w:val="0"/>
          <w:numId w:val="8"/>
        </w:numPr>
        <w:spacing w:line="240" w:lineRule="auto"/>
        <w:rPr>
          <w:rFonts w:ascii="Arial" w:hAnsi="Arial" w:cs="Arial"/>
        </w:rPr>
      </w:pPr>
      <w:r w:rsidRPr="002B5A68">
        <w:rPr>
          <w:rFonts w:ascii="Arial" w:hAnsi="Arial" w:cs="Arial"/>
        </w:rPr>
        <w:t>Health and wellbeing needs are being met</w:t>
      </w:r>
    </w:p>
    <w:p w14:paraId="6FA8C713" w14:textId="77777777" w:rsidR="00103DD3" w:rsidRPr="002B5A68" w:rsidRDefault="00103DD3" w:rsidP="00103DD3">
      <w:pPr>
        <w:pStyle w:val="NoSpacing"/>
        <w:numPr>
          <w:ilvl w:val="0"/>
          <w:numId w:val="8"/>
        </w:numPr>
        <w:spacing w:line="240" w:lineRule="auto"/>
        <w:rPr>
          <w:rFonts w:ascii="Arial" w:hAnsi="Arial" w:cs="Arial"/>
        </w:rPr>
      </w:pPr>
      <w:r w:rsidRPr="002B5A68">
        <w:rPr>
          <w:rFonts w:ascii="Arial" w:hAnsi="Arial" w:cs="Arial"/>
        </w:rPr>
        <w:t>Safeguarding duties are fully met</w:t>
      </w:r>
    </w:p>
    <w:p w14:paraId="38EA1C9D" w14:textId="77777777" w:rsidR="00103DD3" w:rsidRPr="002B5A68" w:rsidRDefault="00103DD3" w:rsidP="00103DD3">
      <w:pPr>
        <w:pStyle w:val="NoSpacing"/>
        <w:numPr>
          <w:ilvl w:val="0"/>
          <w:numId w:val="8"/>
        </w:numPr>
        <w:spacing w:line="240" w:lineRule="auto"/>
        <w:rPr>
          <w:rFonts w:ascii="Arial" w:hAnsi="Arial" w:cs="Arial"/>
        </w:rPr>
      </w:pPr>
      <w:r w:rsidRPr="002B5A68">
        <w:rPr>
          <w:rFonts w:ascii="Arial" w:hAnsi="Arial" w:cs="Arial"/>
        </w:rPr>
        <w:t>It is fulfilling its duty of care, is compliant with legislative frameworks and broad statutory obligations</w:t>
      </w:r>
    </w:p>
    <w:p w14:paraId="08587E7E" w14:textId="77777777" w:rsidR="00103DD3" w:rsidRPr="002B5A68" w:rsidRDefault="00103DD3" w:rsidP="00103DD3">
      <w:pPr>
        <w:pStyle w:val="NoSpacing"/>
        <w:numPr>
          <w:ilvl w:val="0"/>
          <w:numId w:val="8"/>
        </w:numPr>
        <w:spacing w:line="240" w:lineRule="auto"/>
        <w:rPr>
          <w:rFonts w:ascii="Arial" w:hAnsi="Arial" w:cs="Arial"/>
        </w:rPr>
      </w:pPr>
      <w:r w:rsidRPr="002B5A68">
        <w:rPr>
          <w:rFonts w:ascii="Arial" w:hAnsi="Arial" w:cs="Arial"/>
        </w:rPr>
        <w:t>It is fulfilling its responsibility to ensure that public funds are used to enable individuals to live independent lives and ensuring value for money</w:t>
      </w:r>
    </w:p>
    <w:p w14:paraId="45F957E1" w14:textId="77777777" w:rsidR="00103DD3" w:rsidRPr="002B5A68" w:rsidRDefault="00103DD3" w:rsidP="00103DD3">
      <w:pPr>
        <w:pStyle w:val="NoSpacing"/>
        <w:numPr>
          <w:ilvl w:val="0"/>
          <w:numId w:val="8"/>
        </w:numPr>
        <w:spacing w:line="240" w:lineRule="auto"/>
        <w:rPr>
          <w:rFonts w:ascii="Arial" w:hAnsi="Arial" w:cs="Arial"/>
        </w:rPr>
      </w:pPr>
      <w:r w:rsidRPr="002B5A68">
        <w:rPr>
          <w:rFonts w:ascii="Arial" w:hAnsi="Arial" w:cs="Arial"/>
        </w:rPr>
        <w:t>Public funds are used appropriately</w:t>
      </w:r>
    </w:p>
    <w:p w14:paraId="09AD1DBF" w14:textId="77777777" w:rsidR="00103DD3" w:rsidRPr="002B5A68" w:rsidRDefault="00103DD3" w:rsidP="00103DD3">
      <w:pPr>
        <w:pStyle w:val="NoSpacing"/>
        <w:numPr>
          <w:ilvl w:val="0"/>
          <w:numId w:val="8"/>
        </w:numPr>
        <w:spacing w:line="240" w:lineRule="auto"/>
        <w:rPr>
          <w:rFonts w:ascii="Arial" w:hAnsi="Arial" w:cs="Arial"/>
        </w:rPr>
      </w:pPr>
      <w:r w:rsidRPr="002B5A68">
        <w:rPr>
          <w:rFonts w:ascii="Arial" w:hAnsi="Arial" w:cs="Arial"/>
        </w:rPr>
        <w:t xml:space="preserve">Take into account the need for the NHS organisations to allocate its financial resources in the most </w:t>
      </w:r>
      <w:proofErr w:type="gramStart"/>
      <w:r w:rsidRPr="002B5A68">
        <w:rPr>
          <w:rFonts w:ascii="Arial" w:hAnsi="Arial" w:cs="Arial"/>
        </w:rPr>
        <w:t>cost effective</w:t>
      </w:r>
      <w:proofErr w:type="gramEnd"/>
      <w:r w:rsidRPr="002B5A68">
        <w:rPr>
          <w:rFonts w:ascii="Arial" w:hAnsi="Arial" w:cs="Arial"/>
        </w:rPr>
        <w:t xml:space="preserve"> way</w:t>
      </w:r>
    </w:p>
    <w:p w14:paraId="515AD50B" w14:textId="77777777" w:rsidR="00103DD3" w:rsidRPr="002B5A68" w:rsidRDefault="00103DD3" w:rsidP="00103DD3">
      <w:pPr>
        <w:pStyle w:val="NoSpacing"/>
        <w:numPr>
          <w:ilvl w:val="0"/>
          <w:numId w:val="8"/>
        </w:numPr>
        <w:spacing w:line="240" w:lineRule="auto"/>
        <w:rPr>
          <w:rFonts w:ascii="Arial" w:hAnsi="Arial" w:cs="Arial"/>
        </w:rPr>
      </w:pPr>
      <w:r w:rsidRPr="002B5A68">
        <w:rPr>
          <w:rFonts w:ascii="Arial" w:hAnsi="Arial" w:cs="Arial"/>
        </w:rPr>
        <w:t xml:space="preserve">The availability of resources is a legitimate </w:t>
      </w:r>
      <w:proofErr w:type="gramStart"/>
      <w:r w:rsidRPr="002B5A68">
        <w:rPr>
          <w:rFonts w:ascii="Arial" w:hAnsi="Arial" w:cs="Arial"/>
        </w:rPr>
        <w:t>consideration</w:t>
      </w:r>
      <w:proofErr w:type="gramEnd"/>
      <w:r w:rsidRPr="002B5A68">
        <w:rPr>
          <w:rFonts w:ascii="Arial" w:hAnsi="Arial" w:cs="Arial"/>
        </w:rPr>
        <w:t xml:space="preserve"> but it must be balanced against the needs of the individual and decisions must be made on a case by case basis taking into account all other considerations.</w:t>
      </w:r>
    </w:p>
    <w:p w14:paraId="24ABEABA" w14:textId="77777777" w:rsidR="00103DD3" w:rsidRPr="002B5A68" w:rsidRDefault="00103DD3" w:rsidP="00103DD3">
      <w:pPr>
        <w:pStyle w:val="NoSpacing"/>
        <w:numPr>
          <w:ilvl w:val="0"/>
          <w:numId w:val="8"/>
        </w:numPr>
        <w:spacing w:line="240" w:lineRule="auto"/>
        <w:rPr>
          <w:rFonts w:ascii="Arial" w:hAnsi="Arial" w:cs="Arial"/>
        </w:rPr>
      </w:pPr>
      <w:r w:rsidRPr="002B5A68">
        <w:rPr>
          <w:rFonts w:ascii="Arial" w:hAnsi="Arial" w:cs="Arial"/>
        </w:rPr>
        <w:t>North East Lincolnshire CCG’s reputation is protected</w:t>
      </w:r>
    </w:p>
    <w:p w14:paraId="7258B257" w14:textId="77777777" w:rsidR="00103DD3" w:rsidRPr="002B5A68" w:rsidRDefault="00103DD3" w:rsidP="00103DD3">
      <w:pPr>
        <w:pStyle w:val="NoSpacing"/>
        <w:spacing w:line="240" w:lineRule="auto"/>
        <w:rPr>
          <w:rFonts w:ascii="Arial" w:hAnsi="Arial" w:cs="Arial"/>
        </w:rPr>
      </w:pPr>
    </w:p>
    <w:p w14:paraId="4FBEAC77" w14:textId="77777777" w:rsidR="00103DD3" w:rsidRDefault="00103DD3" w:rsidP="00E12FA4">
      <w:pPr>
        <w:pStyle w:val="NoSpacing"/>
        <w:spacing w:line="240" w:lineRule="auto"/>
        <w:rPr>
          <w:rFonts w:ascii="Arial" w:hAnsi="Arial" w:cs="Arial"/>
        </w:rPr>
      </w:pPr>
      <w:r w:rsidRPr="002B5A68">
        <w:rPr>
          <w:rFonts w:ascii="Arial" w:hAnsi="Arial" w:cs="Arial"/>
        </w:rPr>
        <w:t xml:space="preserve">North East Lincolnshire CCG will work with the Local Authority for any safeguarding concerns arising from any physical, </w:t>
      </w:r>
      <w:proofErr w:type="gramStart"/>
      <w:r w:rsidRPr="002B5A68">
        <w:rPr>
          <w:rFonts w:ascii="Arial" w:hAnsi="Arial" w:cs="Arial"/>
        </w:rPr>
        <w:t>sexual</w:t>
      </w:r>
      <w:proofErr w:type="gramEnd"/>
      <w:r w:rsidRPr="002B5A68">
        <w:rPr>
          <w:rFonts w:ascii="Arial" w:hAnsi="Arial" w:cs="Arial"/>
        </w:rPr>
        <w:t xml:space="preserve"> or financial abuse of an individual receiving a PHB. These will be investigated accordingly as per the Safeguarding Policy.</w:t>
      </w:r>
    </w:p>
    <w:p w14:paraId="38CEE3FD" w14:textId="4AB238A5" w:rsidR="002B5A68" w:rsidRPr="00E12FA4" w:rsidRDefault="002B5A68" w:rsidP="00E12FA4">
      <w:pPr>
        <w:pStyle w:val="NoSpacing"/>
        <w:spacing w:line="240" w:lineRule="auto"/>
        <w:rPr>
          <w:rFonts w:ascii="Arial" w:hAnsi="Arial" w:cs="Arial"/>
          <w:b/>
          <w:bCs/>
        </w:rPr>
      </w:pPr>
    </w:p>
    <w:p w14:paraId="740D2CA9" w14:textId="77777777" w:rsidR="00172C11" w:rsidRPr="00F60C09" w:rsidRDefault="00C177DB" w:rsidP="00F60C09">
      <w:pPr>
        <w:pStyle w:val="Heading1"/>
      </w:pPr>
      <w:bookmarkStart w:id="17" w:name="_Toc26875381"/>
      <w:r>
        <w:t>14</w:t>
      </w:r>
      <w:r w:rsidR="00F60C09" w:rsidRPr="00F60C09">
        <w:t xml:space="preserve">. </w:t>
      </w:r>
      <w:r w:rsidR="00172C11" w:rsidRPr="00F60C09">
        <w:t>O</w:t>
      </w:r>
      <w:r w:rsidR="00F60C09">
        <w:t>WNERSHIP</w:t>
      </w:r>
      <w:bookmarkEnd w:id="17"/>
    </w:p>
    <w:p w14:paraId="387741BC" w14:textId="77777777" w:rsidR="00172C11" w:rsidRPr="00F60C09" w:rsidRDefault="00172C11" w:rsidP="00F60C09">
      <w:pPr>
        <w:pStyle w:val="NoSpacing"/>
        <w:spacing w:line="240" w:lineRule="auto"/>
        <w:rPr>
          <w:rFonts w:ascii="Arial" w:hAnsi="Arial" w:cs="Arial"/>
        </w:rPr>
      </w:pPr>
    </w:p>
    <w:p w14:paraId="5221AA54" w14:textId="77777777" w:rsidR="00172C11" w:rsidRPr="00F60C09" w:rsidRDefault="00172C11" w:rsidP="00F60C09">
      <w:pPr>
        <w:pStyle w:val="NoSpacing"/>
        <w:spacing w:line="240" w:lineRule="auto"/>
        <w:rPr>
          <w:rFonts w:ascii="Arial" w:hAnsi="Arial" w:cs="Arial"/>
        </w:rPr>
      </w:pPr>
      <w:r w:rsidRPr="00F60C09">
        <w:rPr>
          <w:rFonts w:ascii="Arial" w:hAnsi="Arial" w:cs="Arial"/>
        </w:rPr>
        <w:t xml:space="preserve">With the importance of ownership, decisions should centre on agreement of the management of clinical and financial risk to a level acceptable to the budget holder, </w:t>
      </w:r>
      <w:proofErr w:type="gramStart"/>
      <w:r w:rsidRPr="00F60C09">
        <w:rPr>
          <w:rFonts w:ascii="Arial" w:hAnsi="Arial" w:cs="Arial"/>
        </w:rPr>
        <w:t>clinician</w:t>
      </w:r>
      <w:proofErr w:type="gramEnd"/>
      <w:r w:rsidRPr="00F60C09">
        <w:rPr>
          <w:rFonts w:ascii="Arial" w:hAnsi="Arial" w:cs="Arial"/>
        </w:rPr>
        <w:t xml:space="preserve"> and CCG. For this to be effective it is important for those patients with capacity to do so, to make an informed choice. It is important that the support plan include a contingency, which can detail actions which would need to be taken if an anticipated risk arises.</w:t>
      </w:r>
    </w:p>
    <w:p w14:paraId="68332FDB" w14:textId="5E8DA6CD" w:rsidR="002B5A68" w:rsidRPr="00F60C09" w:rsidRDefault="002B5A68" w:rsidP="00F60C09">
      <w:pPr>
        <w:pStyle w:val="NoSpacing"/>
        <w:spacing w:line="240" w:lineRule="auto"/>
        <w:rPr>
          <w:rFonts w:ascii="Arial" w:hAnsi="Arial" w:cs="Arial"/>
        </w:rPr>
      </w:pPr>
    </w:p>
    <w:p w14:paraId="0EBFD6D4" w14:textId="77777777" w:rsidR="00172C11" w:rsidRPr="00F60C09" w:rsidRDefault="00C177DB" w:rsidP="00F60C09">
      <w:pPr>
        <w:pStyle w:val="Heading1"/>
      </w:pPr>
      <w:bookmarkStart w:id="18" w:name="_Toc26875382"/>
      <w:r>
        <w:t>15</w:t>
      </w:r>
      <w:r w:rsidR="00F60C09" w:rsidRPr="00F60C09">
        <w:t xml:space="preserve">. </w:t>
      </w:r>
      <w:r w:rsidR="00172C11" w:rsidRPr="00F60C09">
        <w:t>A</w:t>
      </w:r>
      <w:r w:rsidR="00F60C09">
        <w:t>PPROVAL CRITERIA</w:t>
      </w:r>
      <w:bookmarkEnd w:id="18"/>
    </w:p>
    <w:p w14:paraId="70A13690" w14:textId="77777777" w:rsidR="00172C11" w:rsidRPr="00F60C09" w:rsidRDefault="00172C11" w:rsidP="00F60C09">
      <w:pPr>
        <w:pStyle w:val="NoSpacing"/>
        <w:spacing w:line="240" w:lineRule="auto"/>
        <w:rPr>
          <w:rFonts w:ascii="Arial" w:hAnsi="Arial" w:cs="Arial"/>
        </w:rPr>
      </w:pPr>
    </w:p>
    <w:p w14:paraId="73B73150" w14:textId="77777777" w:rsidR="00172C11" w:rsidRDefault="00172C11" w:rsidP="00F60C09">
      <w:pPr>
        <w:pStyle w:val="NoSpacing"/>
        <w:spacing w:line="240" w:lineRule="auto"/>
        <w:rPr>
          <w:rFonts w:ascii="Arial" w:hAnsi="Arial" w:cs="Arial"/>
        </w:rPr>
      </w:pPr>
      <w:r w:rsidRPr="00F60C09">
        <w:rPr>
          <w:rFonts w:ascii="Arial" w:hAnsi="Arial" w:cs="Arial"/>
        </w:rPr>
        <w:t>There are three key considerations which need to be kept in mind throughout the planning process and during the sign off/authorisation of the submitted plan.</w:t>
      </w:r>
    </w:p>
    <w:p w14:paraId="55EBC5C5" w14:textId="77777777" w:rsidR="00F60C09" w:rsidRPr="00F60C09" w:rsidRDefault="00F60C09" w:rsidP="00F60C09">
      <w:pPr>
        <w:pStyle w:val="NoSpacing"/>
        <w:spacing w:line="240" w:lineRule="auto"/>
        <w:rPr>
          <w:rFonts w:ascii="Arial" w:hAnsi="Arial" w:cs="Arial"/>
        </w:rPr>
      </w:pPr>
    </w:p>
    <w:p w14:paraId="510EEC35" w14:textId="77777777" w:rsidR="00172C11" w:rsidRPr="00F60C09" w:rsidRDefault="00172C11" w:rsidP="00943F34">
      <w:pPr>
        <w:pStyle w:val="NoSpacing"/>
        <w:numPr>
          <w:ilvl w:val="0"/>
          <w:numId w:val="1"/>
        </w:numPr>
        <w:spacing w:line="240" w:lineRule="auto"/>
        <w:ind w:left="227" w:hanging="227"/>
        <w:rPr>
          <w:rFonts w:ascii="Arial" w:hAnsi="Arial" w:cs="Arial"/>
        </w:rPr>
      </w:pPr>
      <w:r w:rsidRPr="00F60C09">
        <w:rPr>
          <w:rFonts w:ascii="Arial" w:hAnsi="Arial" w:cs="Arial"/>
        </w:rPr>
        <w:t>Ar</w:t>
      </w:r>
      <w:r w:rsidR="00F60C09">
        <w:rPr>
          <w:rFonts w:ascii="Arial" w:hAnsi="Arial" w:cs="Arial"/>
        </w:rPr>
        <w:t>e the services/support lawful? i</w:t>
      </w:r>
      <w:r w:rsidR="00AF0E59">
        <w:rPr>
          <w:rFonts w:ascii="Arial" w:hAnsi="Arial" w:cs="Arial"/>
        </w:rPr>
        <w:t>e</w:t>
      </w:r>
      <w:r w:rsidRPr="00F60C09">
        <w:rPr>
          <w:rFonts w:ascii="Arial" w:hAnsi="Arial" w:cs="Arial"/>
        </w:rPr>
        <w:t xml:space="preserve"> legitimately with the scope of the funds and resources that will be used with any respective regulatory requirement(s) addressed e.g. health and safety, employment law and both common and criminal law. </w:t>
      </w:r>
    </w:p>
    <w:p w14:paraId="44889EB2" w14:textId="77777777" w:rsidR="00172C11" w:rsidRPr="00F60C09" w:rsidRDefault="00172C11" w:rsidP="00943F34">
      <w:pPr>
        <w:pStyle w:val="NoSpacing"/>
        <w:numPr>
          <w:ilvl w:val="0"/>
          <w:numId w:val="1"/>
        </w:numPr>
        <w:spacing w:line="240" w:lineRule="auto"/>
        <w:ind w:left="227" w:hanging="227"/>
        <w:rPr>
          <w:rFonts w:ascii="Arial" w:hAnsi="Arial" w:cs="Arial"/>
        </w:rPr>
      </w:pPr>
      <w:r w:rsidRPr="00F60C09">
        <w:rPr>
          <w:rFonts w:ascii="Arial" w:hAnsi="Arial" w:cs="Arial"/>
        </w:rPr>
        <w:t xml:space="preserve">Can the plan effectively meet the budget holders identified goals? I.e. supporting independence, health and wellbeing, use of funds and resources in accordance with principle of best value and addressing any identified risks. Clear, strong links with identified outcomes shown in the plan. </w:t>
      </w:r>
    </w:p>
    <w:p w14:paraId="483CECA7" w14:textId="77777777" w:rsidR="00172C11" w:rsidRDefault="00172C11" w:rsidP="00943F34">
      <w:pPr>
        <w:pStyle w:val="NoSpacing"/>
        <w:numPr>
          <w:ilvl w:val="0"/>
          <w:numId w:val="1"/>
        </w:numPr>
        <w:spacing w:line="240" w:lineRule="auto"/>
        <w:ind w:left="227" w:hanging="227"/>
        <w:rPr>
          <w:rFonts w:ascii="Arial" w:hAnsi="Arial" w:cs="Arial"/>
        </w:rPr>
      </w:pPr>
      <w:r w:rsidRPr="00F60C09">
        <w:rPr>
          <w:rFonts w:ascii="Arial" w:hAnsi="Arial" w:cs="Arial"/>
        </w:rPr>
        <w:t>Is the plan affordable, i.e.</w:t>
      </w:r>
      <w:r w:rsidR="001232D5">
        <w:rPr>
          <w:rFonts w:ascii="Arial" w:hAnsi="Arial" w:cs="Arial"/>
        </w:rPr>
        <w:t xml:space="preserve"> within specified allocation? ie</w:t>
      </w:r>
      <w:r w:rsidRPr="00F60C09">
        <w:rPr>
          <w:rFonts w:ascii="Arial" w:hAnsi="Arial" w:cs="Arial"/>
        </w:rPr>
        <w:t xml:space="preserve"> all costs identified and can be realistically met within budget. </w:t>
      </w:r>
    </w:p>
    <w:p w14:paraId="644FA246" w14:textId="77777777" w:rsidR="00F47232" w:rsidRPr="002B5A68" w:rsidRDefault="00F47232" w:rsidP="002B5A68">
      <w:pPr>
        <w:pStyle w:val="NoSpacing"/>
        <w:numPr>
          <w:ilvl w:val="0"/>
          <w:numId w:val="1"/>
        </w:numPr>
        <w:spacing w:line="240" w:lineRule="auto"/>
        <w:ind w:left="227" w:hanging="227"/>
        <w:jc w:val="left"/>
        <w:rPr>
          <w:rFonts w:ascii="Arial" w:hAnsi="Arial" w:cs="Arial"/>
        </w:rPr>
      </w:pPr>
      <w:r w:rsidRPr="002B5A68">
        <w:rPr>
          <w:rFonts w:ascii="Arial" w:hAnsi="Arial" w:cs="Arial"/>
        </w:rPr>
        <w:t>A PHB may only be spent on services agreed between the individual and the professional detailed in the support plan that will enable them to meet their agreed health and wellbeing outcomes. Examples may include:</w:t>
      </w:r>
    </w:p>
    <w:p w14:paraId="5E114EF0" w14:textId="77777777" w:rsidR="00F47232" w:rsidRPr="002B5A68" w:rsidRDefault="00F47232" w:rsidP="002B5A68">
      <w:pPr>
        <w:pStyle w:val="NoSpacing"/>
        <w:numPr>
          <w:ilvl w:val="0"/>
          <w:numId w:val="4"/>
        </w:numPr>
        <w:spacing w:line="240" w:lineRule="auto"/>
        <w:jc w:val="left"/>
        <w:rPr>
          <w:rFonts w:ascii="Arial" w:hAnsi="Arial" w:cs="Arial"/>
        </w:rPr>
      </w:pPr>
      <w:r w:rsidRPr="002B5A68">
        <w:rPr>
          <w:rFonts w:ascii="Arial" w:hAnsi="Arial" w:cs="Arial"/>
        </w:rPr>
        <w:lastRenderedPageBreak/>
        <w:t>Delegated health tasks</w:t>
      </w:r>
    </w:p>
    <w:p w14:paraId="590E4286" w14:textId="71AF6B4A" w:rsidR="00F47232" w:rsidRPr="002B5A68" w:rsidRDefault="00F47232" w:rsidP="002B5A68">
      <w:pPr>
        <w:pStyle w:val="NoSpacing"/>
        <w:numPr>
          <w:ilvl w:val="0"/>
          <w:numId w:val="4"/>
        </w:numPr>
        <w:spacing w:line="240" w:lineRule="auto"/>
        <w:jc w:val="left"/>
        <w:rPr>
          <w:rFonts w:ascii="Arial" w:hAnsi="Arial" w:cs="Arial"/>
        </w:rPr>
      </w:pPr>
      <w:r w:rsidRPr="002B5A68">
        <w:rPr>
          <w:rFonts w:ascii="Arial" w:hAnsi="Arial" w:cs="Arial"/>
        </w:rPr>
        <w:t xml:space="preserve">Personal assistance to help with activities of daily living and personal care including help with personal hygiene, </w:t>
      </w:r>
      <w:r w:rsidR="0025573D" w:rsidRPr="0025573D">
        <w:rPr>
          <w:rFonts w:ascii="Arial" w:hAnsi="Arial" w:cs="Arial"/>
        </w:rPr>
        <w:t>support with meal preparation and food and fluid intake.</w:t>
      </w:r>
    </w:p>
    <w:p w14:paraId="0AB8EC21" w14:textId="77777777" w:rsidR="0025573D" w:rsidRPr="0025573D" w:rsidRDefault="0025573D" w:rsidP="0025573D">
      <w:pPr>
        <w:pStyle w:val="NoSpacing"/>
        <w:numPr>
          <w:ilvl w:val="0"/>
          <w:numId w:val="4"/>
        </w:numPr>
        <w:spacing w:line="240" w:lineRule="auto"/>
        <w:jc w:val="left"/>
        <w:rPr>
          <w:rFonts w:ascii="Arial" w:hAnsi="Arial" w:cs="Arial"/>
        </w:rPr>
      </w:pPr>
      <w:r w:rsidRPr="0025573D">
        <w:rPr>
          <w:rFonts w:ascii="Arial" w:hAnsi="Arial" w:cs="Arial"/>
        </w:rPr>
        <w:t>Equipment to support with daily living tasks if required should go through the appropriate referral route for equipment services.</w:t>
      </w:r>
    </w:p>
    <w:p w14:paraId="0CEC2A3F" w14:textId="77777777" w:rsidR="00F47232" w:rsidRPr="002B5A68" w:rsidRDefault="00F47232" w:rsidP="002B5A68">
      <w:pPr>
        <w:pStyle w:val="NoSpacing"/>
        <w:numPr>
          <w:ilvl w:val="0"/>
          <w:numId w:val="4"/>
        </w:numPr>
        <w:spacing w:line="240" w:lineRule="auto"/>
        <w:jc w:val="left"/>
        <w:rPr>
          <w:rFonts w:ascii="Arial" w:hAnsi="Arial" w:cs="Arial"/>
        </w:rPr>
      </w:pPr>
      <w:r w:rsidRPr="002B5A68">
        <w:rPr>
          <w:rFonts w:ascii="Arial" w:hAnsi="Arial" w:cs="Arial"/>
        </w:rPr>
        <w:t>Activities that help individuals become more active in the community, improving physical/mental health</w:t>
      </w:r>
    </w:p>
    <w:p w14:paraId="5B1D7127" w14:textId="77777777" w:rsidR="00F47232" w:rsidRPr="002B5A68" w:rsidRDefault="00F47232" w:rsidP="002B5A68">
      <w:pPr>
        <w:pStyle w:val="NoSpacing"/>
        <w:numPr>
          <w:ilvl w:val="0"/>
          <w:numId w:val="4"/>
        </w:numPr>
        <w:spacing w:line="240" w:lineRule="auto"/>
        <w:jc w:val="left"/>
        <w:rPr>
          <w:rFonts w:ascii="Arial" w:hAnsi="Arial" w:cs="Arial"/>
        </w:rPr>
      </w:pPr>
      <w:r w:rsidRPr="002B5A68">
        <w:rPr>
          <w:rFonts w:ascii="Arial" w:hAnsi="Arial" w:cs="Arial"/>
        </w:rPr>
        <w:t>Respite or short breaks</w:t>
      </w:r>
    </w:p>
    <w:p w14:paraId="138ABCD6" w14:textId="77777777" w:rsidR="00F47232" w:rsidRPr="002B5A68" w:rsidRDefault="00F47232" w:rsidP="002B5A68">
      <w:pPr>
        <w:pStyle w:val="NoSpacing"/>
        <w:numPr>
          <w:ilvl w:val="0"/>
          <w:numId w:val="4"/>
        </w:numPr>
        <w:spacing w:line="240" w:lineRule="auto"/>
        <w:jc w:val="left"/>
        <w:rPr>
          <w:rFonts w:ascii="Arial" w:hAnsi="Arial" w:cs="Arial"/>
        </w:rPr>
      </w:pPr>
      <w:r w:rsidRPr="002B5A68">
        <w:rPr>
          <w:rFonts w:ascii="Arial" w:hAnsi="Arial" w:cs="Arial"/>
        </w:rPr>
        <w:t>Complimentary treatments could be considered by the CCG if demonstrated they would meet a PHB holders health and wellbeing outcomes</w:t>
      </w:r>
    </w:p>
    <w:p w14:paraId="4C7B2526" w14:textId="77777777" w:rsidR="00172C11" w:rsidRPr="00F60C09" w:rsidRDefault="00172C11" w:rsidP="00F60C09">
      <w:pPr>
        <w:pStyle w:val="NoSpacing"/>
        <w:spacing w:line="240" w:lineRule="auto"/>
        <w:rPr>
          <w:rFonts w:ascii="Arial" w:hAnsi="Arial" w:cs="Arial"/>
        </w:rPr>
      </w:pPr>
    </w:p>
    <w:p w14:paraId="2B4D009E" w14:textId="77777777" w:rsidR="00172C11" w:rsidRPr="00F60C09" w:rsidRDefault="00172C11" w:rsidP="002B5A68">
      <w:pPr>
        <w:pStyle w:val="NoSpacing"/>
        <w:spacing w:line="240" w:lineRule="auto"/>
        <w:jc w:val="left"/>
        <w:rPr>
          <w:rFonts w:ascii="Arial" w:hAnsi="Arial" w:cs="Arial"/>
        </w:rPr>
      </w:pPr>
      <w:r w:rsidRPr="00F60C09">
        <w:rPr>
          <w:rFonts w:ascii="Arial" w:hAnsi="Arial" w:cs="Arial"/>
        </w:rPr>
        <w:t>National guidance for exclusions in addition to unlawful services, gambling, debt repayments, tobacco and alcohol or close family member living in the same household is as follows:</w:t>
      </w:r>
    </w:p>
    <w:p w14:paraId="441D70C2" w14:textId="77777777" w:rsidR="00172C11" w:rsidRPr="00F60C09" w:rsidRDefault="00172C11" w:rsidP="00F60C09">
      <w:pPr>
        <w:pStyle w:val="NoSpacing"/>
        <w:spacing w:line="240" w:lineRule="auto"/>
        <w:rPr>
          <w:rFonts w:ascii="Arial" w:hAnsi="Arial" w:cs="Arial"/>
        </w:rPr>
      </w:pPr>
    </w:p>
    <w:p w14:paraId="387BA7A1" w14:textId="77777777" w:rsidR="00172C11" w:rsidRPr="00F60C09" w:rsidRDefault="00172C11" w:rsidP="00943F34">
      <w:pPr>
        <w:pStyle w:val="NoSpacing"/>
        <w:numPr>
          <w:ilvl w:val="0"/>
          <w:numId w:val="1"/>
        </w:numPr>
        <w:spacing w:line="240" w:lineRule="auto"/>
        <w:ind w:left="227" w:hanging="227"/>
        <w:rPr>
          <w:rFonts w:ascii="Arial" w:hAnsi="Arial" w:cs="Arial"/>
        </w:rPr>
      </w:pPr>
      <w:r w:rsidRPr="00F60C09">
        <w:rPr>
          <w:rFonts w:ascii="Arial" w:hAnsi="Arial" w:cs="Arial"/>
        </w:rPr>
        <w:t xml:space="preserve">Emergency or unplanned care. </w:t>
      </w:r>
    </w:p>
    <w:p w14:paraId="7ADAAD91" w14:textId="77777777" w:rsidR="00172C11" w:rsidRPr="00F60C09" w:rsidRDefault="00172C11" w:rsidP="00943F34">
      <w:pPr>
        <w:pStyle w:val="NoSpacing"/>
        <w:numPr>
          <w:ilvl w:val="0"/>
          <w:numId w:val="1"/>
        </w:numPr>
        <w:spacing w:line="240" w:lineRule="auto"/>
        <w:ind w:left="227" w:hanging="227"/>
        <w:rPr>
          <w:rFonts w:ascii="Arial" w:hAnsi="Arial" w:cs="Arial"/>
        </w:rPr>
      </w:pPr>
      <w:r w:rsidRPr="00F60C09">
        <w:rPr>
          <w:rFonts w:ascii="Arial" w:hAnsi="Arial" w:cs="Arial"/>
        </w:rPr>
        <w:t xml:space="preserve">Medication, </w:t>
      </w:r>
      <w:proofErr w:type="gramStart"/>
      <w:r w:rsidRPr="00F60C09">
        <w:rPr>
          <w:rFonts w:ascii="Arial" w:hAnsi="Arial" w:cs="Arial"/>
        </w:rPr>
        <w:t>prescriptions</w:t>
      </w:r>
      <w:proofErr w:type="gramEnd"/>
      <w:r w:rsidRPr="00F60C09">
        <w:rPr>
          <w:rFonts w:ascii="Arial" w:hAnsi="Arial" w:cs="Arial"/>
        </w:rPr>
        <w:t xml:space="preserve"> and other chargeable services. </w:t>
      </w:r>
    </w:p>
    <w:p w14:paraId="32418AF6" w14:textId="77777777" w:rsidR="00172C11" w:rsidRDefault="00172C11" w:rsidP="00943F34">
      <w:pPr>
        <w:pStyle w:val="NoSpacing"/>
        <w:numPr>
          <w:ilvl w:val="0"/>
          <w:numId w:val="1"/>
        </w:numPr>
        <w:spacing w:line="240" w:lineRule="auto"/>
        <w:ind w:left="227" w:hanging="227"/>
        <w:rPr>
          <w:rFonts w:ascii="Arial" w:hAnsi="Arial" w:cs="Arial"/>
        </w:rPr>
      </w:pPr>
      <w:r w:rsidRPr="00F60C09">
        <w:rPr>
          <w:rFonts w:ascii="Arial" w:hAnsi="Arial" w:cs="Arial"/>
        </w:rPr>
        <w:t xml:space="preserve">Primary care </w:t>
      </w:r>
      <w:r w:rsidR="00F60C09">
        <w:rPr>
          <w:rFonts w:ascii="Arial" w:hAnsi="Arial" w:cs="Arial"/>
        </w:rPr>
        <w:t>services, e.g. visiting a GP/DN</w:t>
      </w:r>
      <w:r w:rsidRPr="00F60C09">
        <w:rPr>
          <w:rFonts w:ascii="Arial" w:hAnsi="Arial" w:cs="Arial"/>
        </w:rPr>
        <w:t xml:space="preserve"> </w:t>
      </w:r>
    </w:p>
    <w:p w14:paraId="177CDFCD" w14:textId="77777777" w:rsidR="007F449E" w:rsidRPr="002B5A68" w:rsidRDefault="007F449E" w:rsidP="00943F34">
      <w:pPr>
        <w:pStyle w:val="NoSpacing"/>
        <w:numPr>
          <w:ilvl w:val="0"/>
          <w:numId w:val="1"/>
        </w:numPr>
        <w:spacing w:line="240" w:lineRule="auto"/>
        <w:ind w:left="227" w:hanging="227"/>
        <w:rPr>
          <w:rFonts w:ascii="Arial" w:hAnsi="Arial" w:cs="Arial"/>
        </w:rPr>
      </w:pPr>
      <w:r w:rsidRPr="002B5A68">
        <w:rPr>
          <w:rFonts w:ascii="Arial" w:hAnsi="Arial" w:cs="Arial"/>
        </w:rPr>
        <w:t>Inpatient care</w:t>
      </w:r>
    </w:p>
    <w:p w14:paraId="2CA28C8C" w14:textId="77777777" w:rsidR="007F449E" w:rsidRPr="002B5A68" w:rsidRDefault="007F449E" w:rsidP="00943F34">
      <w:pPr>
        <w:pStyle w:val="NoSpacing"/>
        <w:numPr>
          <w:ilvl w:val="0"/>
          <w:numId w:val="1"/>
        </w:numPr>
        <w:spacing w:line="240" w:lineRule="auto"/>
        <w:ind w:left="227" w:hanging="227"/>
        <w:rPr>
          <w:rFonts w:ascii="Arial" w:hAnsi="Arial" w:cs="Arial"/>
        </w:rPr>
      </w:pPr>
      <w:r w:rsidRPr="002B5A68">
        <w:rPr>
          <w:rFonts w:ascii="Arial" w:hAnsi="Arial" w:cs="Arial"/>
        </w:rPr>
        <w:t>Food and clothing</w:t>
      </w:r>
    </w:p>
    <w:p w14:paraId="72F69EDD" w14:textId="77777777" w:rsidR="007F449E" w:rsidRPr="002B5A68" w:rsidRDefault="007F449E" w:rsidP="00943F34">
      <w:pPr>
        <w:pStyle w:val="NoSpacing"/>
        <w:numPr>
          <w:ilvl w:val="0"/>
          <w:numId w:val="1"/>
        </w:numPr>
        <w:spacing w:line="240" w:lineRule="auto"/>
        <w:ind w:left="227" w:hanging="227"/>
        <w:rPr>
          <w:rFonts w:ascii="Arial" w:hAnsi="Arial" w:cs="Arial"/>
        </w:rPr>
      </w:pPr>
      <w:r w:rsidRPr="002B5A68">
        <w:rPr>
          <w:rFonts w:ascii="Arial" w:hAnsi="Arial" w:cs="Arial"/>
        </w:rPr>
        <w:t>Utility bills</w:t>
      </w:r>
    </w:p>
    <w:p w14:paraId="7A39737A" w14:textId="77777777" w:rsidR="007F449E" w:rsidRPr="002B5A68" w:rsidRDefault="007F449E" w:rsidP="00943F34">
      <w:pPr>
        <w:pStyle w:val="NoSpacing"/>
        <w:numPr>
          <w:ilvl w:val="0"/>
          <w:numId w:val="1"/>
        </w:numPr>
        <w:spacing w:line="240" w:lineRule="auto"/>
        <w:ind w:left="227" w:hanging="227"/>
        <w:rPr>
          <w:rFonts w:ascii="Arial" w:hAnsi="Arial" w:cs="Arial"/>
        </w:rPr>
      </w:pPr>
      <w:r w:rsidRPr="002B5A68">
        <w:rPr>
          <w:rFonts w:ascii="Arial" w:hAnsi="Arial" w:cs="Arial"/>
        </w:rPr>
        <w:t>Rent, mortgage or leases on property</w:t>
      </w:r>
    </w:p>
    <w:p w14:paraId="090FFE71" w14:textId="77777777" w:rsidR="007F449E" w:rsidRPr="002B5A68" w:rsidRDefault="007F449E" w:rsidP="00943F34">
      <w:pPr>
        <w:pStyle w:val="NoSpacing"/>
        <w:numPr>
          <w:ilvl w:val="0"/>
          <w:numId w:val="1"/>
        </w:numPr>
        <w:spacing w:line="240" w:lineRule="auto"/>
        <w:ind w:left="227" w:hanging="227"/>
        <w:rPr>
          <w:rFonts w:ascii="Arial" w:hAnsi="Arial" w:cs="Arial"/>
        </w:rPr>
      </w:pPr>
      <w:r w:rsidRPr="002B5A68">
        <w:rPr>
          <w:rFonts w:ascii="Arial" w:hAnsi="Arial" w:cs="Arial"/>
        </w:rPr>
        <w:t>Funded nursing care</w:t>
      </w:r>
    </w:p>
    <w:p w14:paraId="45A0F6EA" w14:textId="77777777" w:rsidR="007F449E" w:rsidRPr="002B5A68" w:rsidRDefault="007F449E" w:rsidP="007F449E">
      <w:pPr>
        <w:pStyle w:val="NoSpacing"/>
        <w:spacing w:line="240" w:lineRule="auto"/>
        <w:rPr>
          <w:rFonts w:ascii="Arial" w:hAnsi="Arial" w:cs="Arial"/>
        </w:rPr>
      </w:pPr>
    </w:p>
    <w:p w14:paraId="4B2D3BE2" w14:textId="77777777" w:rsidR="007F449E" w:rsidRPr="002B5A68" w:rsidRDefault="007F449E" w:rsidP="007F449E">
      <w:pPr>
        <w:pStyle w:val="NoSpacing"/>
        <w:spacing w:line="240" w:lineRule="auto"/>
        <w:rPr>
          <w:rFonts w:ascii="Arial" w:hAnsi="Arial" w:cs="Arial"/>
        </w:rPr>
      </w:pPr>
      <w:r w:rsidRPr="002B5A68">
        <w:rPr>
          <w:rFonts w:ascii="Arial" w:hAnsi="Arial" w:cs="Arial"/>
        </w:rPr>
        <w:t>The above is not an exhaustive list. North East Lincolnshire CCG has overall responsibility for ensuring that all intended expenditure is legal as part of the</w:t>
      </w:r>
      <w:r w:rsidR="00835B62">
        <w:rPr>
          <w:rFonts w:ascii="Arial" w:hAnsi="Arial" w:cs="Arial"/>
        </w:rPr>
        <w:t xml:space="preserve"> governance arrangement for PHBs. T</w:t>
      </w:r>
      <w:r w:rsidRPr="002B5A68">
        <w:rPr>
          <w:rFonts w:ascii="Arial" w:hAnsi="Arial" w:cs="Arial"/>
        </w:rPr>
        <w:t>he personal care and support plan should clearly designate all expenses covered by the Personal Health Budget.</w:t>
      </w:r>
    </w:p>
    <w:p w14:paraId="215F34E1" w14:textId="77777777" w:rsidR="007F449E" w:rsidRPr="002B5A68" w:rsidRDefault="007F449E" w:rsidP="007F449E">
      <w:pPr>
        <w:pStyle w:val="NoSpacing"/>
        <w:spacing w:line="240" w:lineRule="auto"/>
        <w:rPr>
          <w:rFonts w:ascii="Arial" w:hAnsi="Arial" w:cs="Arial"/>
        </w:rPr>
      </w:pPr>
    </w:p>
    <w:p w14:paraId="5C7C652B" w14:textId="77777777" w:rsidR="007F449E" w:rsidRPr="007F449E" w:rsidRDefault="007F449E" w:rsidP="007F449E">
      <w:pPr>
        <w:pStyle w:val="NoSpacing"/>
        <w:spacing w:line="240" w:lineRule="auto"/>
        <w:rPr>
          <w:rFonts w:ascii="Arial" w:hAnsi="Arial" w:cs="Arial"/>
          <w:highlight w:val="yellow"/>
        </w:rPr>
      </w:pPr>
      <w:r w:rsidRPr="002B5A68">
        <w:rPr>
          <w:rFonts w:ascii="Arial" w:hAnsi="Arial" w:cs="Arial"/>
        </w:rPr>
        <w:t xml:space="preserve">The use of such funding does not at this time extend to the delivery of goods or services that would normally be the responsibility of other bodies (eg. Local Authority housing services or are </w:t>
      </w:r>
      <w:proofErr w:type="spellStart"/>
      <w:r w:rsidRPr="002B5A68">
        <w:rPr>
          <w:rFonts w:ascii="Arial" w:hAnsi="Arial" w:cs="Arial"/>
        </w:rPr>
        <w:t>covered</w:t>
      </w:r>
      <w:r w:rsidR="00546C40">
        <w:rPr>
          <w:rFonts w:ascii="Arial" w:hAnsi="Arial" w:cs="Arial"/>
        </w:rPr>
        <w:t>c</w:t>
      </w:r>
      <w:proofErr w:type="spellEnd"/>
      <w:r w:rsidRPr="002B5A68">
        <w:rPr>
          <w:rFonts w:ascii="Arial" w:hAnsi="Arial" w:cs="Arial"/>
        </w:rPr>
        <w:t xml:space="preserve"> by existing contracts or mechanisms such as community equipment, district nursing).</w:t>
      </w:r>
    </w:p>
    <w:p w14:paraId="2B41FCC3" w14:textId="77777777" w:rsidR="00172C11" w:rsidRPr="009256EE" w:rsidRDefault="00172C11" w:rsidP="00172C11">
      <w:pPr>
        <w:autoSpaceDE w:val="0"/>
        <w:autoSpaceDN w:val="0"/>
        <w:adjustRightInd w:val="0"/>
        <w:spacing w:line="276" w:lineRule="auto"/>
        <w:rPr>
          <w:rFonts w:cs="Arial"/>
          <w:kern w:val="0"/>
          <w:szCs w:val="22"/>
        </w:rPr>
      </w:pPr>
    </w:p>
    <w:p w14:paraId="1D8A8C06" w14:textId="77777777" w:rsidR="00172C11" w:rsidRPr="00F60C09" w:rsidRDefault="00172C11" w:rsidP="00F60C09">
      <w:pPr>
        <w:pStyle w:val="NoSpacing"/>
        <w:spacing w:line="240" w:lineRule="auto"/>
        <w:rPr>
          <w:rFonts w:ascii="Arial" w:hAnsi="Arial" w:cs="Arial"/>
        </w:rPr>
      </w:pPr>
      <w:r w:rsidRPr="00F60C09">
        <w:rPr>
          <w:rFonts w:ascii="Arial" w:hAnsi="Arial" w:cs="Arial"/>
        </w:rPr>
        <w:t xml:space="preserve">Should an eligible patient wish to undertake their support planning in conjunction with support from a 3rd Party the member of staff will advise the patient about the approval process but will explain that they remain involved in the approval process. </w:t>
      </w:r>
    </w:p>
    <w:p w14:paraId="672A8B15" w14:textId="77777777" w:rsidR="00172C11" w:rsidRDefault="00172C11" w:rsidP="00F60C09">
      <w:pPr>
        <w:pStyle w:val="NoSpacing"/>
        <w:spacing w:line="240" w:lineRule="auto"/>
        <w:rPr>
          <w:rFonts w:ascii="Arial" w:hAnsi="Arial" w:cs="Arial"/>
        </w:rPr>
      </w:pPr>
      <w:r w:rsidRPr="00F60C09">
        <w:rPr>
          <w:rFonts w:ascii="Arial" w:hAnsi="Arial" w:cs="Arial"/>
        </w:rPr>
        <w:t xml:space="preserve">All requests in relation to delivery of care packages will be given due consideration on a </w:t>
      </w:r>
      <w:proofErr w:type="gramStart"/>
      <w:r w:rsidRPr="00F60C09">
        <w:rPr>
          <w:rFonts w:ascii="Arial" w:hAnsi="Arial" w:cs="Arial"/>
        </w:rPr>
        <w:t>case by case</w:t>
      </w:r>
      <w:proofErr w:type="gramEnd"/>
      <w:r w:rsidRPr="00F60C09">
        <w:rPr>
          <w:rFonts w:ascii="Arial" w:hAnsi="Arial" w:cs="Arial"/>
        </w:rPr>
        <w:t xml:space="preserve"> basis.</w:t>
      </w:r>
    </w:p>
    <w:p w14:paraId="66269AB7" w14:textId="77777777" w:rsidR="007F449E" w:rsidRDefault="007F449E" w:rsidP="00F60C09">
      <w:pPr>
        <w:pStyle w:val="NoSpacing"/>
        <w:spacing w:line="240" w:lineRule="auto"/>
        <w:rPr>
          <w:rFonts w:ascii="Arial" w:hAnsi="Arial" w:cs="Arial"/>
        </w:rPr>
      </w:pPr>
    </w:p>
    <w:p w14:paraId="720A4282" w14:textId="77777777" w:rsidR="007F449E" w:rsidRDefault="007F449E" w:rsidP="00F60C09">
      <w:pPr>
        <w:pStyle w:val="NoSpacing"/>
        <w:spacing w:line="240" w:lineRule="auto"/>
        <w:rPr>
          <w:rFonts w:ascii="Arial" w:hAnsi="Arial" w:cs="Arial"/>
        </w:rPr>
      </w:pPr>
      <w:r w:rsidRPr="005F552C">
        <w:rPr>
          <w:rFonts w:ascii="Arial" w:hAnsi="Arial" w:cs="Arial"/>
        </w:rPr>
        <w:t xml:space="preserve">Individuals accepting a direct payment will be asked to enter into formal agreement and set up a separate bank account. The individual can </w:t>
      </w:r>
      <w:r w:rsidR="0033301F" w:rsidRPr="005F552C">
        <w:rPr>
          <w:rFonts w:ascii="Arial" w:hAnsi="Arial" w:cs="Arial"/>
        </w:rPr>
        <w:t>choose</w:t>
      </w:r>
      <w:r w:rsidRPr="005F552C">
        <w:rPr>
          <w:rFonts w:ascii="Arial" w:hAnsi="Arial" w:cs="Arial"/>
        </w:rPr>
        <w:t xml:space="preserve"> to have a </w:t>
      </w:r>
      <w:r w:rsidR="0033301F" w:rsidRPr="005F552C">
        <w:rPr>
          <w:rFonts w:ascii="Arial" w:hAnsi="Arial" w:cs="Arial"/>
        </w:rPr>
        <w:t>supported service provider to hold the funds and make payments on their behalf.</w:t>
      </w:r>
    </w:p>
    <w:p w14:paraId="0EA661E0" w14:textId="77777777" w:rsidR="006C4B8B" w:rsidRDefault="006C4B8B" w:rsidP="00F60C09">
      <w:pPr>
        <w:pStyle w:val="NoSpacing"/>
        <w:spacing w:line="240" w:lineRule="auto"/>
        <w:rPr>
          <w:rFonts w:ascii="Arial" w:hAnsi="Arial" w:cs="Arial"/>
        </w:rPr>
      </w:pPr>
    </w:p>
    <w:p w14:paraId="2005908A" w14:textId="2B94CAE3" w:rsidR="006C4B8B" w:rsidRDefault="00F94EB3" w:rsidP="00F60C09">
      <w:pPr>
        <w:pStyle w:val="NoSpacing"/>
        <w:spacing w:line="240" w:lineRule="auto"/>
        <w:rPr>
          <w:rFonts w:ascii="Arial" w:hAnsi="Arial" w:cs="Arial"/>
        </w:rPr>
      </w:pPr>
      <w:r w:rsidRPr="00F94EB3">
        <w:rPr>
          <w:rFonts w:ascii="Arial" w:hAnsi="Arial" w:cs="Arial"/>
        </w:rPr>
        <w:t xml:space="preserve">Following review there may be changes to the actual budget, it is the right of the CCG to regularly review and update the plans of care and budget cost. This may mean either an increase or </w:t>
      </w:r>
      <w:r>
        <w:rPr>
          <w:rFonts w:ascii="Arial" w:hAnsi="Arial" w:cs="Arial"/>
        </w:rPr>
        <w:t>decrease in the budget offered.</w:t>
      </w:r>
    </w:p>
    <w:p w14:paraId="1086C086" w14:textId="77777777" w:rsidR="006C4B8B" w:rsidRDefault="006C4B8B" w:rsidP="00F60C09">
      <w:pPr>
        <w:pStyle w:val="NoSpacing"/>
        <w:spacing w:line="240" w:lineRule="auto"/>
        <w:rPr>
          <w:rFonts w:ascii="Arial" w:hAnsi="Arial" w:cs="Arial"/>
        </w:rPr>
      </w:pPr>
    </w:p>
    <w:p w14:paraId="61EA9639" w14:textId="2D8843FC" w:rsidR="00F94EB3" w:rsidRPr="00F94EB3" w:rsidRDefault="00F94EB3" w:rsidP="00F94EB3">
      <w:pPr>
        <w:pStyle w:val="NoSpacing"/>
        <w:spacing w:line="240" w:lineRule="auto"/>
        <w:rPr>
          <w:rFonts w:ascii="Arial" w:hAnsi="Arial" w:cs="Arial"/>
        </w:rPr>
      </w:pPr>
      <w:r w:rsidRPr="00F94EB3">
        <w:rPr>
          <w:rFonts w:ascii="Arial" w:hAnsi="Arial" w:cs="Arial"/>
        </w:rPr>
        <w:t>All PHBs must be agreed and signed by the individual or there representative and authorised by the CCG prior to any transfer of funds.</w:t>
      </w:r>
    </w:p>
    <w:p w14:paraId="08D67C9B" w14:textId="086B45D4" w:rsidR="0033301F" w:rsidRPr="005F552C" w:rsidRDefault="0033301F" w:rsidP="00F60C09">
      <w:pPr>
        <w:pStyle w:val="NoSpacing"/>
        <w:spacing w:line="240" w:lineRule="auto"/>
        <w:rPr>
          <w:rFonts w:ascii="Arial" w:hAnsi="Arial" w:cs="Arial"/>
        </w:rPr>
      </w:pPr>
    </w:p>
    <w:p w14:paraId="2776EC00" w14:textId="77777777" w:rsidR="0033301F" w:rsidRDefault="0033301F" w:rsidP="00F60C09">
      <w:pPr>
        <w:pStyle w:val="NoSpacing"/>
        <w:spacing w:line="240" w:lineRule="auto"/>
        <w:rPr>
          <w:rFonts w:ascii="Arial" w:hAnsi="Arial" w:cs="Arial"/>
        </w:rPr>
      </w:pPr>
      <w:r w:rsidRPr="005F552C">
        <w:rPr>
          <w:rFonts w:ascii="Arial" w:hAnsi="Arial" w:cs="Arial"/>
        </w:rPr>
        <w:t>The key principle of a PHB is that the individual knows what their budget is, the treatment or care options and the financial implications of their choices, irrespective of the way the budget is managed.</w:t>
      </w:r>
    </w:p>
    <w:p w14:paraId="18487D7D" w14:textId="77777777" w:rsidR="00172C11" w:rsidRDefault="00172C11" w:rsidP="00F60C09">
      <w:pPr>
        <w:pStyle w:val="NoSpacing"/>
        <w:spacing w:line="240" w:lineRule="auto"/>
        <w:rPr>
          <w:rFonts w:ascii="Arial" w:hAnsi="Arial" w:cs="Arial"/>
        </w:rPr>
      </w:pPr>
    </w:p>
    <w:p w14:paraId="3002F4CF" w14:textId="239B789D" w:rsidR="005F552C" w:rsidRDefault="005F552C" w:rsidP="00F60C09">
      <w:pPr>
        <w:pStyle w:val="NoSpacing"/>
        <w:spacing w:line="240" w:lineRule="auto"/>
        <w:rPr>
          <w:rFonts w:ascii="Arial" w:hAnsi="Arial" w:cs="Arial"/>
        </w:rPr>
      </w:pPr>
    </w:p>
    <w:p w14:paraId="1E6EF43C" w14:textId="2732118F" w:rsidR="00E81ACA" w:rsidRDefault="00E81ACA" w:rsidP="00F60C09">
      <w:pPr>
        <w:pStyle w:val="NoSpacing"/>
        <w:spacing w:line="240" w:lineRule="auto"/>
        <w:rPr>
          <w:rFonts w:ascii="Arial" w:hAnsi="Arial" w:cs="Arial"/>
        </w:rPr>
      </w:pPr>
    </w:p>
    <w:p w14:paraId="46D868BA" w14:textId="77777777" w:rsidR="00E81ACA" w:rsidRPr="00F60C09" w:rsidRDefault="00E81ACA" w:rsidP="00F60C09">
      <w:pPr>
        <w:pStyle w:val="NoSpacing"/>
        <w:spacing w:line="240" w:lineRule="auto"/>
        <w:rPr>
          <w:rFonts w:ascii="Arial" w:hAnsi="Arial" w:cs="Arial"/>
        </w:rPr>
      </w:pPr>
    </w:p>
    <w:p w14:paraId="7C767F37" w14:textId="77777777" w:rsidR="00172C11" w:rsidRPr="006A44EF" w:rsidRDefault="00C177DB" w:rsidP="006A44EF">
      <w:pPr>
        <w:pStyle w:val="Heading1"/>
      </w:pPr>
      <w:bookmarkStart w:id="19" w:name="_Toc26875383"/>
      <w:r>
        <w:lastRenderedPageBreak/>
        <w:t>16</w:t>
      </w:r>
      <w:r w:rsidR="006A44EF" w:rsidRPr="006A44EF">
        <w:t>. PATIENT CAPACITY AND SIGN OFF</w:t>
      </w:r>
      <w:bookmarkEnd w:id="19"/>
    </w:p>
    <w:p w14:paraId="68FB4EE6" w14:textId="77777777" w:rsidR="00172C11" w:rsidRPr="006A44EF" w:rsidRDefault="00172C11" w:rsidP="006A44EF">
      <w:pPr>
        <w:pStyle w:val="NoSpacing"/>
        <w:spacing w:line="240" w:lineRule="auto"/>
        <w:rPr>
          <w:rFonts w:ascii="Arial" w:hAnsi="Arial" w:cs="Arial"/>
        </w:rPr>
      </w:pPr>
    </w:p>
    <w:p w14:paraId="0C0EB961" w14:textId="77777777" w:rsidR="00172C11" w:rsidRPr="006A44EF" w:rsidRDefault="00172C11" w:rsidP="006A44EF">
      <w:pPr>
        <w:pStyle w:val="NoSpacing"/>
        <w:spacing w:line="240" w:lineRule="auto"/>
        <w:rPr>
          <w:rFonts w:ascii="Arial" w:hAnsi="Arial" w:cs="Arial"/>
        </w:rPr>
      </w:pPr>
      <w:r w:rsidRPr="006A44EF">
        <w:rPr>
          <w:rFonts w:ascii="Arial" w:hAnsi="Arial" w:cs="Arial"/>
        </w:rPr>
        <w:t>A support plan will not be agreed if there are serious concerns that it will not meet a patient’s needs or that it may expose anyone to unacceptable risks.</w:t>
      </w:r>
    </w:p>
    <w:p w14:paraId="2B8E83B7" w14:textId="5ECCD1B7" w:rsidR="005F552C" w:rsidRDefault="005F552C" w:rsidP="006A44EF">
      <w:pPr>
        <w:pStyle w:val="NoSpacing"/>
        <w:spacing w:line="240" w:lineRule="auto"/>
        <w:rPr>
          <w:rFonts w:ascii="Arial" w:hAnsi="Arial" w:cs="Arial"/>
        </w:rPr>
      </w:pPr>
    </w:p>
    <w:p w14:paraId="155FD30F" w14:textId="77777777" w:rsidR="00172C11" w:rsidRPr="006A44EF" w:rsidRDefault="00172C11" w:rsidP="006A44EF">
      <w:pPr>
        <w:pStyle w:val="NoSpacing"/>
        <w:spacing w:line="240" w:lineRule="auto"/>
        <w:rPr>
          <w:rFonts w:ascii="Arial" w:hAnsi="Arial" w:cs="Arial"/>
        </w:rPr>
      </w:pPr>
      <w:r w:rsidRPr="006A44EF">
        <w:rPr>
          <w:rFonts w:ascii="Arial" w:hAnsi="Arial" w:cs="Arial"/>
        </w:rPr>
        <w:t>Support plans will require three signatories for sign off:</w:t>
      </w:r>
    </w:p>
    <w:p w14:paraId="1830962E" w14:textId="77777777" w:rsidR="00172C11" w:rsidRPr="006A44EF" w:rsidRDefault="00172C11" w:rsidP="006A44EF">
      <w:pPr>
        <w:pStyle w:val="NoSpacing"/>
        <w:spacing w:line="240" w:lineRule="auto"/>
        <w:rPr>
          <w:rFonts w:ascii="Arial" w:hAnsi="Arial" w:cs="Arial"/>
        </w:rPr>
      </w:pPr>
    </w:p>
    <w:p w14:paraId="1AFE313D" w14:textId="77777777" w:rsidR="00172C11" w:rsidRPr="006A44EF" w:rsidRDefault="00172C11" w:rsidP="00943F34">
      <w:pPr>
        <w:pStyle w:val="NoSpacing"/>
        <w:numPr>
          <w:ilvl w:val="0"/>
          <w:numId w:val="1"/>
        </w:numPr>
        <w:spacing w:line="240" w:lineRule="auto"/>
        <w:ind w:left="227" w:hanging="227"/>
        <w:rPr>
          <w:rFonts w:ascii="Arial" w:hAnsi="Arial" w:cs="Arial"/>
        </w:rPr>
      </w:pPr>
      <w:proofErr w:type="gramStart"/>
      <w:r w:rsidRPr="006A44EF">
        <w:rPr>
          <w:rFonts w:ascii="Arial" w:hAnsi="Arial" w:cs="Arial"/>
        </w:rPr>
        <w:t>Patient</w:t>
      </w:r>
      <w:proofErr w:type="gramEnd"/>
      <w:r w:rsidRPr="006A44EF">
        <w:rPr>
          <w:rFonts w:ascii="Arial" w:hAnsi="Arial" w:cs="Arial"/>
        </w:rPr>
        <w:t xml:space="preserve"> sign off. </w:t>
      </w:r>
    </w:p>
    <w:p w14:paraId="24B3B26D" w14:textId="77777777" w:rsidR="00172C11" w:rsidRPr="006A44EF" w:rsidRDefault="00172C11" w:rsidP="00943F34">
      <w:pPr>
        <w:pStyle w:val="NoSpacing"/>
        <w:numPr>
          <w:ilvl w:val="0"/>
          <w:numId w:val="1"/>
        </w:numPr>
        <w:spacing w:line="240" w:lineRule="auto"/>
        <w:ind w:left="227" w:hanging="227"/>
        <w:rPr>
          <w:rFonts w:ascii="Arial" w:hAnsi="Arial" w:cs="Arial"/>
        </w:rPr>
      </w:pPr>
      <w:r w:rsidRPr="006A44EF">
        <w:rPr>
          <w:rFonts w:ascii="Arial" w:hAnsi="Arial" w:cs="Arial"/>
        </w:rPr>
        <w:t xml:space="preserve">Sign off indicating CHC clinical agreement with health outcomes and selection of services. </w:t>
      </w:r>
    </w:p>
    <w:p w14:paraId="1CD0BB18" w14:textId="77777777" w:rsidR="00172C11" w:rsidRPr="006A44EF" w:rsidRDefault="00172C11" w:rsidP="00943F34">
      <w:pPr>
        <w:pStyle w:val="NoSpacing"/>
        <w:numPr>
          <w:ilvl w:val="0"/>
          <w:numId w:val="1"/>
        </w:numPr>
        <w:spacing w:line="240" w:lineRule="auto"/>
        <w:ind w:left="227" w:hanging="227"/>
        <w:rPr>
          <w:rFonts w:ascii="Arial" w:hAnsi="Arial" w:cs="Arial"/>
        </w:rPr>
      </w:pPr>
      <w:r w:rsidRPr="006A44EF">
        <w:rPr>
          <w:rFonts w:ascii="Arial" w:hAnsi="Arial" w:cs="Arial"/>
        </w:rPr>
        <w:t>Sign off authorising allocation of requested budget amount by the CCG.</w:t>
      </w:r>
    </w:p>
    <w:p w14:paraId="0EA643BD" w14:textId="77777777" w:rsidR="00172C11" w:rsidRPr="009256EE" w:rsidRDefault="00172C11" w:rsidP="00172C11">
      <w:pPr>
        <w:spacing w:line="240" w:lineRule="auto"/>
        <w:ind w:left="720"/>
        <w:rPr>
          <w:rFonts w:cs="Arial"/>
          <w:kern w:val="0"/>
          <w:szCs w:val="22"/>
          <w:lang w:eastAsia="en-US"/>
        </w:rPr>
      </w:pPr>
    </w:p>
    <w:p w14:paraId="1B817018" w14:textId="77777777" w:rsidR="00172C11" w:rsidRPr="006A44EF" w:rsidRDefault="00172C11" w:rsidP="006A44EF">
      <w:pPr>
        <w:pStyle w:val="NoSpacing"/>
        <w:spacing w:line="240" w:lineRule="auto"/>
        <w:rPr>
          <w:rFonts w:ascii="Arial" w:hAnsi="Arial" w:cs="Arial"/>
        </w:rPr>
      </w:pPr>
      <w:r w:rsidRPr="006A44EF">
        <w:rPr>
          <w:rFonts w:ascii="Arial" w:hAnsi="Arial" w:cs="Arial"/>
        </w:rPr>
        <w:t xml:space="preserve">Patients are assumed to have capacity to consent and to be able to make their own </w:t>
      </w:r>
      <w:proofErr w:type="gramStart"/>
      <w:r w:rsidRPr="006A44EF">
        <w:rPr>
          <w:rFonts w:ascii="Arial" w:hAnsi="Arial" w:cs="Arial"/>
        </w:rPr>
        <w:t>decisions, unless</w:t>
      </w:r>
      <w:proofErr w:type="gramEnd"/>
      <w:r w:rsidRPr="006A44EF">
        <w:rPr>
          <w:rFonts w:ascii="Arial" w:hAnsi="Arial" w:cs="Arial"/>
        </w:rPr>
        <w:t xml:space="preserve"> there is evidence to the contrary.</w:t>
      </w:r>
    </w:p>
    <w:p w14:paraId="4FB618AB" w14:textId="77777777" w:rsidR="00172C11" w:rsidRPr="006A44EF" w:rsidRDefault="00172C11" w:rsidP="006A44EF">
      <w:pPr>
        <w:pStyle w:val="NoSpacing"/>
        <w:spacing w:line="240" w:lineRule="auto"/>
        <w:rPr>
          <w:rFonts w:ascii="Arial" w:hAnsi="Arial" w:cs="Arial"/>
        </w:rPr>
      </w:pPr>
    </w:p>
    <w:p w14:paraId="17DD2AB2" w14:textId="77777777" w:rsidR="00172C11" w:rsidRPr="006A44EF" w:rsidRDefault="00172C11" w:rsidP="006A44EF">
      <w:pPr>
        <w:pStyle w:val="NoSpacing"/>
        <w:spacing w:line="240" w:lineRule="auto"/>
        <w:rPr>
          <w:rFonts w:ascii="Arial" w:hAnsi="Arial" w:cs="Arial"/>
        </w:rPr>
      </w:pPr>
      <w:r w:rsidRPr="006A44EF">
        <w:rPr>
          <w:rFonts w:ascii="Arial" w:hAnsi="Arial" w:cs="Arial"/>
        </w:rPr>
        <w:t xml:space="preserve">In the event that under scrutiny the support plan does not meet health outcomes, an unmanaged risk is </w:t>
      </w:r>
      <w:proofErr w:type="gramStart"/>
      <w:r w:rsidRPr="006A44EF">
        <w:rPr>
          <w:rFonts w:ascii="Arial" w:hAnsi="Arial" w:cs="Arial"/>
        </w:rPr>
        <w:t>identified</w:t>
      </w:r>
      <w:proofErr w:type="gramEnd"/>
      <w:r w:rsidRPr="006A44EF">
        <w:rPr>
          <w:rFonts w:ascii="Arial" w:hAnsi="Arial" w:cs="Arial"/>
        </w:rPr>
        <w:t xml:space="preserve"> or the plan does not meet financial requirements, then it is returned to the patient without sign off providing reasons why, for further consideration and resubmission once highlighted issues are addressed.</w:t>
      </w:r>
    </w:p>
    <w:p w14:paraId="1ABBA896" w14:textId="77777777" w:rsidR="00172C11" w:rsidRPr="006A44EF" w:rsidRDefault="00172C11" w:rsidP="006A44EF">
      <w:pPr>
        <w:pStyle w:val="NoSpacing"/>
        <w:spacing w:line="240" w:lineRule="auto"/>
        <w:rPr>
          <w:rFonts w:ascii="Arial" w:hAnsi="Arial" w:cs="Arial"/>
        </w:rPr>
      </w:pPr>
    </w:p>
    <w:p w14:paraId="2C3F45A1" w14:textId="77777777" w:rsidR="00172C11" w:rsidRPr="006A44EF" w:rsidRDefault="00172C11" w:rsidP="006A44EF">
      <w:pPr>
        <w:pStyle w:val="NoSpacing"/>
        <w:spacing w:line="240" w:lineRule="auto"/>
        <w:rPr>
          <w:rFonts w:ascii="Arial" w:hAnsi="Arial" w:cs="Arial"/>
        </w:rPr>
      </w:pPr>
      <w:r w:rsidRPr="006A44EF">
        <w:rPr>
          <w:rFonts w:ascii="Arial" w:hAnsi="Arial" w:cs="Arial"/>
        </w:rPr>
        <w:t xml:space="preserve">If the support plan submitted for approval exceeds the set indicative budget and on examination </w:t>
      </w:r>
      <w:proofErr w:type="gramStart"/>
      <w:r w:rsidRPr="006A44EF">
        <w:rPr>
          <w:rFonts w:ascii="Arial" w:hAnsi="Arial" w:cs="Arial"/>
        </w:rPr>
        <w:t>evidences</w:t>
      </w:r>
      <w:proofErr w:type="gramEnd"/>
      <w:r w:rsidRPr="006A44EF">
        <w:rPr>
          <w:rFonts w:ascii="Arial" w:hAnsi="Arial" w:cs="Arial"/>
        </w:rPr>
        <w:t xml:space="preserve"> that it meets additional, previously unidentified needs then the patient and clinician need to discuss further and if necessary accommodate additional needs through a budget recalculation.</w:t>
      </w:r>
    </w:p>
    <w:p w14:paraId="125F01BD" w14:textId="77777777" w:rsidR="00172C11" w:rsidRPr="006A44EF" w:rsidRDefault="00172C11" w:rsidP="006A44EF">
      <w:pPr>
        <w:pStyle w:val="NoSpacing"/>
        <w:spacing w:line="240" w:lineRule="auto"/>
        <w:rPr>
          <w:rFonts w:ascii="Arial" w:hAnsi="Arial" w:cs="Arial"/>
        </w:rPr>
      </w:pPr>
    </w:p>
    <w:p w14:paraId="61D277BD" w14:textId="77777777" w:rsidR="00172C11" w:rsidRPr="006A44EF" w:rsidRDefault="00172C11" w:rsidP="006A44EF">
      <w:pPr>
        <w:pStyle w:val="NoSpacing"/>
        <w:spacing w:line="240" w:lineRule="auto"/>
        <w:rPr>
          <w:rFonts w:ascii="Arial" w:hAnsi="Arial" w:cs="Arial"/>
        </w:rPr>
      </w:pPr>
      <w:r w:rsidRPr="006A44EF">
        <w:rPr>
          <w:rFonts w:ascii="Arial" w:hAnsi="Arial" w:cs="Arial"/>
        </w:rPr>
        <w:t>Should a patient feel that a decision is unjustified or made without full consideration of reasoning behind choice, there is a right to appeal using the PHB/CHC appeals process.</w:t>
      </w:r>
    </w:p>
    <w:p w14:paraId="624883D2" w14:textId="77777777" w:rsidR="00172C11" w:rsidRPr="006A44EF" w:rsidRDefault="00172C11" w:rsidP="006A44EF">
      <w:pPr>
        <w:pStyle w:val="NoSpacing"/>
        <w:spacing w:line="240" w:lineRule="auto"/>
        <w:rPr>
          <w:rFonts w:ascii="Arial" w:hAnsi="Arial" w:cs="Arial"/>
        </w:rPr>
      </w:pPr>
    </w:p>
    <w:p w14:paraId="12F5FA4A" w14:textId="77777777" w:rsidR="00172C11" w:rsidRPr="006A44EF" w:rsidRDefault="00172C11" w:rsidP="006A44EF">
      <w:pPr>
        <w:pStyle w:val="NoSpacing"/>
        <w:spacing w:line="240" w:lineRule="auto"/>
        <w:rPr>
          <w:rFonts w:ascii="Arial" w:hAnsi="Arial" w:cs="Arial"/>
        </w:rPr>
      </w:pPr>
      <w:r w:rsidRPr="006A44EF">
        <w:rPr>
          <w:rFonts w:ascii="Arial" w:hAnsi="Arial" w:cs="Arial"/>
        </w:rPr>
        <w:t xml:space="preserve">Personal health budgets are a voluntary alternative to traditional care pathway, and once a budget is approved and implemented the individual can consider ceasing the budget and returning to a traditional care pathway should issues arise. The patient need not offer justification for their </w:t>
      </w:r>
      <w:proofErr w:type="gramStart"/>
      <w:r w:rsidRPr="006A44EF">
        <w:rPr>
          <w:rFonts w:ascii="Arial" w:hAnsi="Arial" w:cs="Arial"/>
        </w:rPr>
        <w:t>decision,</w:t>
      </w:r>
      <w:proofErr w:type="gramEnd"/>
      <w:r w:rsidRPr="006A44EF">
        <w:rPr>
          <w:rFonts w:ascii="Arial" w:hAnsi="Arial" w:cs="Arial"/>
        </w:rPr>
        <w:t xml:space="preserve"> however feedback is welcomed particularly so if it reflects on process or service provision.</w:t>
      </w:r>
    </w:p>
    <w:p w14:paraId="018FAB0C" w14:textId="77777777" w:rsidR="00172C11" w:rsidRPr="006A44EF" w:rsidRDefault="00172C11" w:rsidP="006A44EF">
      <w:pPr>
        <w:pStyle w:val="NoSpacing"/>
        <w:spacing w:line="240" w:lineRule="auto"/>
        <w:rPr>
          <w:rFonts w:ascii="Arial" w:hAnsi="Arial" w:cs="Arial"/>
        </w:rPr>
      </w:pPr>
    </w:p>
    <w:p w14:paraId="7FA1ADBE" w14:textId="77777777" w:rsidR="00172C11" w:rsidRPr="006A44EF" w:rsidRDefault="00172C11" w:rsidP="006A44EF">
      <w:pPr>
        <w:pStyle w:val="NoSpacing"/>
        <w:spacing w:line="240" w:lineRule="auto"/>
        <w:rPr>
          <w:rFonts w:ascii="Arial" w:hAnsi="Arial" w:cs="Arial"/>
        </w:rPr>
      </w:pPr>
      <w:r w:rsidRPr="006A44EF">
        <w:rPr>
          <w:rFonts w:ascii="Arial" w:hAnsi="Arial" w:cs="Arial"/>
        </w:rPr>
        <w:t xml:space="preserve">Should the patient choose to cease their personal health budget outstanding monies will be reclaimed. The patient may be reassessed to determine both current NHS Continuing Healthcare eligibility and the most appropriate care package to meet their identified health needs. </w:t>
      </w:r>
      <w:r w:rsidR="00961A58" w:rsidRPr="005F552C">
        <w:rPr>
          <w:rFonts w:ascii="Arial" w:hAnsi="Arial" w:cs="Arial"/>
        </w:rPr>
        <w:t>This may mean that the CCG will hold a notional budget on behalf of an individual.</w:t>
      </w:r>
    </w:p>
    <w:p w14:paraId="78934FAD" w14:textId="77777777" w:rsidR="00172C11" w:rsidRPr="006A44EF" w:rsidRDefault="00172C11" w:rsidP="006A44EF">
      <w:pPr>
        <w:pStyle w:val="NoSpacing"/>
        <w:spacing w:line="240" w:lineRule="auto"/>
        <w:rPr>
          <w:rFonts w:ascii="Arial" w:hAnsi="Arial" w:cs="Arial"/>
        </w:rPr>
      </w:pPr>
    </w:p>
    <w:p w14:paraId="46649CC1" w14:textId="77777777" w:rsidR="00172C11" w:rsidRDefault="00172C11" w:rsidP="006A44EF">
      <w:pPr>
        <w:pStyle w:val="NoSpacing"/>
        <w:spacing w:line="240" w:lineRule="auto"/>
        <w:rPr>
          <w:rFonts w:ascii="Arial" w:hAnsi="Arial" w:cs="Arial"/>
        </w:rPr>
      </w:pPr>
      <w:r w:rsidRPr="006A44EF">
        <w:rPr>
          <w:rFonts w:ascii="Arial" w:hAnsi="Arial" w:cs="Arial"/>
        </w:rPr>
        <w:t>PHB’s are audited by the NELCCG, if it is identified that there has been mismanagement of funds i.e. where money has been spent on none identified needs or equipment without authorisation the individual will be responsible for repaying the cost and will be required to reimburse the CCG of those costs.</w:t>
      </w:r>
    </w:p>
    <w:p w14:paraId="1B9B7CC4" w14:textId="3CC20019" w:rsidR="005F552C" w:rsidRDefault="005F552C" w:rsidP="006A44EF">
      <w:pPr>
        <w:pStyle w:val="NoSpacing"/>
        <w:spacing w:line="240" w:lineRule="auto"/>
        <w:rPr>
          <w:rFonts w:ascii="Arial" w:hAnsi="Arial" w:cs="Arial"/>
        </w:rPr>
      </w:pPr>
    </w:p>
    <w:p w14:paraId="370E24D3" w14:textId="77777777" w:rsidR="00F47232" w:rsidRPr="005F552C" w:rsidRDefault="00C177DB" w:rsidP="00314236">
      <w:pPr>
        <w:pStyle w:val="Heading1"/>
      </w:pPr>
      <w:bookmarkStart w:id="20" w:name="_Toc26875384"/>
      <w:r w:rsidRPr="005F552C">
        <w:t>17</w:t>
      </w:r>
      <w:r w:rsidR="00196230" w:rsidRPr="005F552C">
        <w:t>.  R</w:t>
      </w:r>
      <w:r w:rsidR="00962552" w:rsidRPr="005F552C">
        <w:t>EVIEW AND DUTY OF CARE</w:t>
      </w:r>
      <w:bookmarkEnd w:id="20"/>
    </w:p>
    <w:p w14:paraId="34A78047" w14:textId="77777777" w:rsidR="00196230" w:rsidRPr="005F552C" w:rsidRDefault="00196230" w:rsidP="006A44EF">
      <w:pPr>
        <w:pStyle w:val="NoSpacing"/>
        <w:spacing w:line="240" w:lineRule="auto"/>
        <w:rPr>
          <w:rFonts w:ascii="Arial" w:hAnsi="Arial" w:cs="Arial"/>
          <w:b/>
        </w:rPr>
      </w:pPr>
    </w:p>
    <w:p w14:paraId="18F10487" w14:textId="77777777" w:rsidR="009E6739" w:rsidRPr="005F552C" w:rsidRDefault="00196230" w:rsidP="006A44EF">
      <w:pPr>
        <w:pStyle w:val="NoSpacing"/>
        <w:spacing w:line="240" w:lineRule="auto"/>
        <w:rPr>
          <w:rFonts w:ascii="Arial" w:hAnsi="Arial" w:cs="Arial"/>
        </w:rPr>
      </w:pPr>
      <w:r w:rsidRPr="005F552C">
        <w:rPr>
          <w:rFonts w:ascii="Arial" w:hAnsi="Arial" w:cs="Arial"/>
        </w:rPr>
        <w:t>Monitoring and reviewing of support plans will remain the role for the CCG and should be proportionate to needs and risk in the context of</w:t>
      </w:r>
      <w:r w:rsidR="009E6739" w:rsidRPr="005F552C">
        <w:rPr>
          <w:rFonts w:ascii="Arial" w:hAnsi="Arial" w:cs="Arial"/>
        </w:rPr>
        <w:t xml:space="preserve"> our duty of care and statutory responsibilities.</w:t>
      </w:r>
    </w:p>
    <w:p w14:paraId="7147759F" w14:textId="77777777" w:rsidR="009E6739" w:rsidRPr="005F552C" w:rsidRDefault="009E6739" w:rsidP="006A44EF">
      <w:pPr>
        <w:pStyle w:val="NoSpacing"/>
        <w:spacing w:line="240" w:lineRule="auto"/>
        <w:rPr>
          <w:rFonts w:ascii="Arial" w:hAnsi="Arial" w:cs="Arial"/>
        </w:rPr>
      </w:pPr>
    </w:p>
    <w:p w14:paraId="5D785902" w14:textId="77777777" w:rsidR="009E6739" w:rsidRPr="005F552C" w:rsidRDefault="009E6739" w:rsidP="006A44EF">
      <w:pPr>
        <w:pStyle w:val="NoSpacing"/>
        <w:spacing w:line="240" w:lineRule="auto"/>
        <w:rPr>
          <w:rFonts w:ascii="Arial" w:hAnsi="Arial" w:cs="Arial"/>
        </w:rPr>
      </w:pPr>
      <w:r w:rsidRPr="005F552C">
        <w:rPr>
          <w:rFonts w:ascii="Arial" w:hAnsi="Arial" w:cs="Arial"/>
        </w:rPr>
        <w:t>Reviewing will be at a frequency and intensity which is proportionate to vulnerability, risk, need and value.</w:t>
      </w:r>
    </w:p>
    <w:p w14:paraId="6CFB927E" w14:textId="77777777" w:rsidR="009E6739" w:rsidRPr="005F552C" w:rsidRDefault="009E6739" w:rsidP="006A44EF">
      <w:pPr>
        <w:pStyle w:val="NoSpacing"/>
        <w:spacing w:line="240" w:lineRule="auto"/>
        <w:rPr>
          <w:rFonts w:ascii="Arial" w:hAnsi="Arial" w:cs="Arial"/>
        </w:rPr>
      </w:pPr>
    </w:p>
    <w:p w14:paraId="0A2FD3C7" w14:textId="77777777" w:rsidR="00961A58" w:rsidRPr="005F552C" w:rsidRDefault="00961A58" w:rsidP="006A44EF">
      <w:pPr>
        <w:pStyle w:val="NoSpacing"/>
        <w:spacing w:line="240" w:lineRule="auto"/>
        <w:rPr>
          <w:rFonts w:ascii="Arial" w:hAnsi="Arial" w:cs="Arial"/>
        </w:rPr>
      </w:pPr>
      <w:r w:rsidRPr="005F552C">
        <w:rPr>
          <w:rFonts w:ascii="Arial" w:hAnsi="Arial" w:cs="Arial"/>
        </w:rPr>
        <w:t>The CCG will ensure that any risk is documented and managed in the context of ensuring that the individual’s needs and their best interests are safeguarded. The support plan must contain a completed risk assessment that acknowledges any potential or actual risk, explaining the decisions made and the actions taken to mitigate risks.</w:t>
      </w:r>
    </w:p>
    <w:p w14:paraId="67DC3143" w14:textId="77777777" w:rsidR="00961A58" w:rsidRPr="005F552C" w:rsidRDefault="00961A58" w:rsidP="006A44EF">
      <w:pPr>
        <w:pStyle w:val="NoSpacing"/>
        <w:spacing w:line="240" w:lineRule="auto"/>
        <w:rPr>
          <w:rFonts w:ascii="Arial" w:hAnsi="Arial" w:cs="Arial"/>
        </w:rPr>
      </w:pPr>
    </w:p>
    <w:p w14:paraId="055ACB7C" w14:textId="77777777" w:rsidR="009E6739" w:rsidRPr="005F552C" w:rsidRDefault="009E6739" w:rsidP="006A44EF">
      <w:pPr>
        <w:pStyle w:val="NoSpacing"/>
        <w:spacing w:line="240" w:lineRule="auto"/>
        <w:rPr>
          <w:rFonts w:ascii="Arial" w:hAnsi="Arial" w:cs="Arial"/>
        </w:rPr>
      </w:pPr>
      <w:r w:rsidRPr="005F552C">
        <w:rPr>
          <w:rFonts w:ascii="Arial" w:hAnsi="Arial" w:cs="Arial"/>
        </w:rPr>
        <w:t>The Personalised support plan will be reviewed against the following criteria:</w:t>
      </w:r>
    </w:p>
    <w:p w14:paraId="073CF5FE" w14:textId="77777777" w:rsidR="00314236" w:rsidRPr="005F552C" w:rsidRDefault="00314236" w:rsidP="006A44EF">
      <w:pPr>
        <w:pStyle w:val="NoSpacing"/>
        <w:spacing w:line="240" w:lineRule="auto"/>
        <w:rPr>
          <w:rFonts w:ascii="Arial" w:hAnsi="Arial" w:cs="Arial"/>
        </w:rPr>
      </w:pPr>
    </w:p>
    <w:p w14:paraId="48B5CF9D" w14:textId="77777777" w:rsidR="009E6739" w:rsidRPr="005F552C" w:rsidRDefault="009E6739" w:rsidP="00943F34">
      <w:pPr>
        <w:pStyle w:val="NoSpacing"/>
        <w:numPr>
          <w:ilvl w:val="0"/>
          <w:numId w:val="7"/>
        </w:numPr>
        <w:spacing w:line="240" w:lineRule="auto"/>
        <w:rPr>
          <w:rFonts w:ascii="Arial" w:hAnsi="Arial" w:cs="Arial"/>
        </w:rPr>
      </w:pPr>
      <w:r w:rsidRPr="005F552C">
        <w:rPr>
          <w:rFonts w:ascii="Arial" w:hAnsi="Arial" w:cs="Arial"/>
        </w:rPr>
        <w:t>Whether the support plan is meeting the health and wellbeing outcomes</w:t>
      </w:r>
    </w:p>
    <w:p w14:paraId="01EA98AC" w14:textId="77777777" w:rsidR="009E6739" w:rsidRPr="005F552C" w:rsidRDefault="009E6739" w:rsidP="00943F34">
      <w:pPr>
        <w:pStyle w:val="NoSpacing"/>
        <w:numPr>
          <w:ilvl w:val="0"/>
          <w:numId w:val="7"/>
        </w:numPr>
        <w:spacing w:line="240" w:lineRule="auto"/>
        <w:rPr>
          <w:rFonts w:ascii="Arial" w:hAnsi="Arial" w:cs="Arial"/>
        </w:rPr>
      </w:pPr>
      <w:r w:rsidRPr="005F552C">
        <w:rPr>
          <w:rFonts w:ascii="Arial" w:hAnsi="Arial" w:cs="Arial"/>
        </w:rPr>
        <w:t>Whether the personalised support plan has adequately addressed health and wellbeing needs</w:t>
      </w:r>
    </w:p>
    <w:p w14:paraId="1FEFC1C6" w14:textId="77777777" w:rsidR="009E6739" w:rsidRPr="005F552C" w:rsidRDefault="009E6739" w:rsidP="00943F34">
      <w:pPr>
        <w:pStyle w:val="NoSpacing"/>
        <w:numPr>
          <w:ilvl w:val="0"/>
          <w:numId w:val="7"/>
        </w:numPr>
        <w:spacing w:line="240" w:lineRule="auto"/>
        <w:rPr>
          <w:rFonts w:ascii="Arial" w:hAnsi="Arial" w:cs="Arial"/>
        </w:rPr>
      </w:pPr>
      <w:r w:rsidRPr="005F552C">
        <w:rPr>
          <w:rFonts w:ascii="Arial" w:hAnsi="Arial" w:cs="Arial"/>
        </w:rPr>
        <w:t xml:space="preserve">Whether there </w:t>
      </w:r>
      <w:proofErr w:type="gramStart"/>
      <w:r w:rsidRPr="005F552C">
        <w:rPr>
          <w:rFonts w:ascii="Arial" w:hAnsi="Arial" w:cs="Arial"/>
        </w:rPr>
        <w:t>have</w:t>
      </w:r>
      <w:proofErr w:type="gramEnd"/>
      <w:r w:rsidRPr="005F552C">
        <w:rPr>
          <w:rFonts w:ascii="Arial" w:hAnsi="Arial" w:cs="Arial"/>
        </w:rPr>
        <w:t xml:space="preserve"> been any change in circumstances</w:t>
      </w:r>
    </w:p>
    <w:p w14:paraId="4BE980C1" w14:textId="77777777" w:rsidR="009E6739" w:rsidRPr="005F552C" w:rsidRDefault="009E6739" w:rsidP="00943F34">
      <w:pPr>
        <w:pStyle w:val="NoSpacing"/>
        <w:numPr>
          <w:ilvl w:val="0"/>
          <w:numId w:val="7"/>
        </w:numPr>
        <w:spacing w:line="240" w:lineRule="auto"/>
        <w:rPr>
          <w:rFonts w:ascii="Arial" w:hAnsi="Arial" w:cs="Arial"/>
        </w:rPr>
      </w:pPr>
      <w:r w:rsidRPr="005F552C">
        <w:rPr>
          <w:rFonts w:ascii="Arial" w:hAnsi="Arial" w:cs="Arial"/>
        </w:rPr>
        <w:t>Whether risks have increased/decreased/stayed the same</w:t>
      </w:r>
    </w:p>
    <w:p w14:paraId="57FD42F4" w14:textId="77777777" w:rsidR="009E6739" w:rsidRPr="005F552C" w:rsidRDefault="009E6739" w:rsidP="00943F34">
      <w:pPr>
        <w:pStyle w:val="NoSpacing"/>
        <w:numPr>
          <w:ilvl w:val="0"/>
          <w:numId w:val="7"/>
        </w:numPr>
        <w:spacing w:line="240" w:lineRule="auto"/>
        <w:rPr>
          <w:rFonts w:ascii="Arial" w:hAnsi="Arial" w:cs="Arial"/>
        </w:rPr>
      </w:pPr>
      <w:r w:rsidRPr="005F552C">
        <w:rPr>
          <w:rFonts w:ascii="Arial" w:hAnsi="Arial" w:cs="Arial"/>
        </w:rPr>
        <w:t>Whether contingency/crisis plans have been used</w:t>
      </w:r>
    </w:p>
    <w:p w14:paraId="29FE787D" w14:textId="77777777" w:rsidR="009E6739" w:rsidRPr="005F552C" w:rsidRDefault="009E6739" w:rsidP="00943F34">
      <w:pPr>
        <w:pStyle w:val="NoSpacing"/>
        <w:numPr>
          <w:ilvl w:val="0"/>
          <w:numId w:val="7"/>
        </w:numPr>
        <w:spacing w:line="240" w:lineRule="auto"/>
        <w:rPr>
          <w:rFonts w:ascii="Arial" w:hAnsi="Arial" w:cs="Arial"/>
        </w:rPr>
      </w:pPr>
      <w:r w:rsidRPr="005F552C">
        <w:rPr>
          <w:rFonts w:ascii="Arial" w:hAnsi="Arial" w:cs="Arial"/>
        </w:rPr>
        <w:t>Cost neutrality or improved value for money</w:t>
      </w:r>
    </w:p>
    <w:p w14:paraId="226111D4" w14:textId="77777777" w:rsidR="009E6739" w:rsidRPr="005F552C" w:rsidRDefault="009E6739" w:rsidP="00943F34">
      <w:pPr>
        <w:pStyle w:val="NoSpacing"/>
        <w:numPr>
          <w:ilvl w:val="0"/>
          <w:numId w:val="7"/>
        </w:numPr>
        <w:spacing w:line="240" w:lineRule="auto"/>
        <w:rPr>
          <w:rFonts w:ascii="Arial" w:hAnsi="Arial" w:cs="Arial"/>
        </w:rPr>
      </w:pPr>
      <w:r w:rsidRPr="005F552C">
        <w:rPr>
          <w:rFonts w:ascii="Arial" w:hAnsi="Arial" w:cs="Arial"/>
        </w:rPr>
        <w:t>Quality of support and services</w:t>
      </w:r>
    </w:p>
    <w:p w14:paraId="00F5B142" w14:textId="77777777" w:rsidR="009E6739" w:rsidRPr="005F552C" w:rsidRDefault="009E6739" w:rsidP="009E6739">
      <w:pPr>
        <w:pStyle w:val="NoSpacing"/>
        <w:spacing w:line="240" w:lineRule="auto"/>
        <w:rPr>
          <w:rFonts w:ascii="Arial" w:hAnsi="Arial" w:cs="Arial"/>
        </w:rPr>
      </w:pPr>
    </w:p>
    <w:p w14:paraId="6C9DF024" w14:textId="77777777" w:rsidR="009E6739" w:rsidRPr="005F552C" w:rsidRDefault="009E6739" w:rsidP="009E6739">
      <w:pPr>
        <w:pStyle w:val="NoSpacing"/>
        <w:spacing w:line="240" w:lineRule="auto"/>
        <w:rPr>
          <w:rFonts w:ascii="Arial" w:hAnsi="Arial" w:cs="Arial"/>
        </w:rPr>
      </w:pPr>
      <w:r w:rsidRPr="005F552C">
        <w:rPr>
          <w:rFonts w:ascii="Arial" w:hAnsi="Arial" w:cs="Arial"/>
        </w:rPr>
        <w:t>The CCG will report on the balance of the PHB to the individual drawing attention to any significant variations or trends, irregularities and issues that require further investigation (such as referral to the local counter fraud service). The CCG’s nominated Local Counter Fraud specialist may become involved in financial audit.</w:t>
      </w:r>
    </w:p>
    <w:p w14:paraId="18EB2270" w14:textId="5FB29FE3" w:rsidR="005F552C" w:rsidRDefault="00196230" w:rsidP="00E81ACA">
      <w:pPr>
        <w:pStyle w:val="NoSpacing"/>
        <w:spacing w:line="120" w:lineRule="auto"/>
        <w:rPr>
          <w:rFonts w:ascii="Arial" w:hAnsi="Arial" w:cs="Arial"/>
        </w:rPr>
      </w:pPr>
      <w:r w:rsidRPr="005F552C">
        <w:rPr>
          <w:rFonts w:ascii="Arial" w:hAnsi="Arial" w:cs="Arial"/>
        </w:rPr>
        <w:t xml:space="preserve"> </w:t>
      </w:r>
    </w:p>
    <w:p w14:paraId="62ACB2AF" w14:textId="77777777" w:rsidR="00E81ACA" w:rsidRPr="005F552C" w:rsidRDefault="00E81ACA" w:rsidP="00E81ACA">
      <w:pPr>
        <w:pStyle w:val="NoSpacing"/>
        <w:spacing w:line="120" w:lineRule="auto"/>
        <w:rPr>
          <w:rFonts w:ascii="Arial" w:hAnsi="Arial" w:cs="Arial"/>
        </w:rPr>
      </w:pPr>
    </w:p>
    <w:p w14:paraId="0F94DD96" w14:textId="77777777" w:rsidR="00F47232" w:rsidRPr="005F552C" w:rsidRDefault="00C177DB" w:rsidP="00314236">
      <w:pPr>
        <w:pStyle w:val="Heading1"/>
      </w:pPr>
      <w:bookmarkStart w:id="21" w:name="_Toc26875385"/>
      <w:r w:rsidRPr="005F552C">
        <w:t>18</w:t>
      </w:r>
      <w:r w:rsidR="00766467" w:rsidRPr="005F552C">
        <w:t>.  G</w:t>
      </w:r>
      <w:r w:rsidR="00A14D42" w:rsidRPr="005F552C">
        <w:t>OVERNANCE</w:t>
      </w:r>
      <w:bookmarkEnd w:id="21"/>
    </w:p>
    <w:p w14:paraId="5D058521" w14:textId="77777777" w:rsidR="00766467" w:rsidRPr="005F552C" w:rsidRDefault="00766467" w:rsidP="006A44EF">
      <w:pPr>
        <w:pStyle w:val="NoSpacing"/>
        <w:spacing w:line="240" w:lineRule="auto"/>
        <w:rPr>
          <w:rFonts w:ascii="Arial" w:hAnsi="Arial" w:cs="Arial"/>
          <w:b/>
        </w:rPr>
      </w:pPr>
    </w:p>
    <w:p w14:paraId="37D12153" w14:textId="77777777" w:rsidR="00766467" w:rsidRPr="005F552C" w:rsidRDefault="00766467" w:rsidP="006A44EF">
      <w:pPr>
        <w:pStyle w:val="NoSpacing"/>
        <w:spacing w:line="240" w:lineRule="auto"/>
        <w:rPr>
          <w:rFonts w:ascii="Arial" w:hAnsi="Arial" w:cs="Arial"/>
        </w:rPr>
      </w:pPr>
      <w:r w:rsidRPr="005F552C">
        <w:rPr>
          <w:rFonts w:ascii="Arial" w:hAnsi="Arial" w:cs="Arial"/>
        </w:rPr>
        <w:t>North East Lincolnshire CCG will have strategies and processes in place for routine reporting on a quarterly basis to assure overall financial and budgetary management. This will include data intelligence which can inform market development and management.</w:t>
      </w:r>
    </w:p>
    <w:p w14:paraId="6CF83AED" w14:textId="77777777" w:rsidR="00314236" w:rsidRPr="005F552C" w:rsidRDefault="00314236" w:rsidP="006A44EF">
      <w:pPr>
        <w:pStyle w:val="NoSpacing"/>
        <w:spacing w:line="240" w:lineRule="auto"/>
        <w:rPr>
          <w:rFonts w:ascii="Arial" w:hAnsi="Arial" w:cs="Arial"/>
        </w:rPr>
      </w:pPr>
    </w:p>
    <w:p w14:paraId="09F984C5" w14:textId="77777777" w:rsidR="00766467" w:rsidRPr="005F552C" w:rsidRDefault="00766467" w:rsidP="006A44EF">
      <w:pPr>
        <w:pStyle w:val="NoSpacing"/>
        <w:spacing w:line="240" w:lineRule="auto"/>
        <w:rPr>
          <w:rFonts w:ascii="Arial" w:hAnsi="Arial" w:cs="Arial"/>
        </w:rPr>
      </w:pPr>
      <w:r w:rsidRPr="005F552C">
        <w:rPr>
          <w:rFonts w:ascii="Arial" w:hAnsi="Arial" w:cs="Arial"/>
        </w:rPr>
        <w:t>For internal governance reporting to the executive group and reporting to health and wellbeing boards on commissioning intention</w:t>
      </w:r>
      <w:r w:rsidR="00314236" w:rsidRPr="005F552C">
        <w:rPr>
          <w:rFonts w:ascii="Arial" w:hAnsi="Arial" w:cs="Arial"/>
        </w:rPr>
        <w:t>s for the wider roll out of PHB</w:t>
      </w:r>
      <w:r w:rsidRPr="005F552C">
        <w:rPr>
          <w:rFonts w:ascii="Arial" w:hAnsi="Arial" w:cs="Arial"/>
        </w:rPr>
        <w:t>s.</w:t>
      </w:r>
    </w:p>
    <w:p w14:paraId="446737FB" w14:textId="77777777" w:rsidR="00314236" w:rsidRPr="005F552C" w:rsidRDefault="00314236" w:rsidP="006A44EF">
      <w:pPr>
        <w:pStyle w:val="NoSpacing"/>
        <w:spacing w:line="240" w:lineRule="auto"/>
        <w:rPr>
          <w:rFonts w:ascii="Arial" w:hAnsi="Arial" w:cs="Arial"/>
        </w:rPr>
      </w:pPr>
    </w:p>
    <w:p w14:paraId="46DB7DC9" w14:textId="77777777" w:rsidR="00766467" w:rsidRPr="005F552C" w:rsidRDefault="00766467" w:rsidP="006A44EF">
      <w:pPr>
        <w:pStyle w:val="NoSpacing"/>
        <w:spacing w:line="240" w:lineRule="auto"/>
        <w:rPr>
          <w:rFonts w:ascii="Arial" w:hAnsi="Arial" w:cs="Arial"/>
        </w:rPr>
      </w:pPr>
      <w:r w:rsidRPr="005F552C">
        <w:rPr>
          <w:rFonts w:ascii="Arial" w:hAnsi="Arial" w:cs="Arial"/>
        </w:rPr>
        <w:t xml:space="preserve">The CCG retains a risk register for PHB’s and ensure a risk assessment is completed for </w:t>
      </w:r>
      <w:proofErr w:type="gramStart"/>
      <w:r w:rsidRPr="005F552C">
        <w:rPr>
          <w:rFonts w:ascii="Arial" w:hAnsi="Arial" w:cs="Arial"/>
        </w:rPr>
        <w:t>each individual</w:t>
      </w:r>
      <w:proofErr w:type="gramEnd"/>
      <w:r w:rsidRPr="005F552C">
        <w:rPr>
          <w:rFonts w:ascii="Arial" w:hAnsi="Arial" w:cs="Arial"/>
        </w:rPr>
        <w:t xml:space="preserve"> in receipt of a PHB.</w:t>
      </w:r>
    </w:p>
    <w:p w14:paraId="6D756D8B" w14:textId="77777777" w:rsidR="00314236" w:rsidRPr="005F552C" w:rsidRDefault="00314236" w:rsidP="006A44EF">
      <w:pPr>
        <w:pStyle w:val="NoSpacing"/>
        <w:spacing w:line="240" w:lineRule="auto"/>
        <w:rPr>
          <w:rFonts w:ascii="Arial" w:hAnsi="Arial" w:cs="Arial"/>
        </w:rPr>
      </w:pPr>
    </w:p>
    <w:p w14:paraId="4CF8726B" w14:textId="77777777" w:rsidR="00766467" w:rsidRPr="005F552C" w:rsidRDefault="00766467" w:rsidP="006A44EF">
      <w:pPr>
        <w:pStyle w:val="NoSpacing"/>
        <w:spacing w:line="240" w:lineRule="auto"/>
        <w:rPr>
          <w:rFonts w:ascii="Arial" w:hAnsi="Arial" w:cs="Arial"/>
        </w:rPr>
      </w:pPr>
      <w:r w:rsidRPr="005F552C">
        <w:rPr>
          <w:rFonts w:ascii="Arial" w:hAnsi="Arial" w:cs="Arial"/>
        </w:rPr>
        <w:t>The CCG has a responsibility to undertake clinical reviews at a minimum of quarterly and then annually or sooner if indicated.</w:t>
      </w:r>
    </w:p>
    <w:p w14:paraId="724A55B3" w14:textId="77777777" w:rsidR="00766467" w:rsidRDefault="00766467" w:rsidP="00A76C62">
      <w:pPr>
        <w:pStyle w:val="NoSpacing"/>
        <w:spacing w:line="120" w:lineRule="auto"/>
        <w:rPr>
          <w:rFonts w:ascii="Arial" w:hAnsi="Arial" w:cs="Arial"/>
          <w:b/>
        </w:rPr>
      </w:pPr>
    </w:p>
    <w:p w14:paraId="28C6A446" w14:textId="77777777" w:rsidR="005F552C" w:rsidRPr="005F552C" w:rsidRDefault="005F552C" w:rsidP="006A44EF">
      <w:pPr>
        <w:pStyle w:val="NoSpacing"/>
        <w:spacing w:line="240" w:lineRule="auto"/>
        <w:rPr>
          <w:rFonts w:ascii="Arial" w:hAnsi="Arial" w:cs="Arial"/>
          <w:b/>
        </w:rPr>
      </w:pPr>
    </w:p>
    <w:p w14:paraId="6798C8CD" w14:textId="77777777" w:rsidR="00F47232" w:rsidRPr="005F552C" w:rsidRDefault="00C177DB" w:rsidP="00314236">
      <w:pPr>
        <w:pStyle w:val="Heading1"/>
      </w:pPr>
      <w:bookmarkStart w:id="22" w:name="_Toc26875386"/>
      <w:r w:rsidRPr="005F552C">
        <w:t>19</w:t>
      </w:r>
      <w:r w:rsidR="00103DD3" w:rsidRPr="005F552C">
        <w:t>.  A</w:t>
      </w:r>
      <w:r w:rsidR="00A14D42" w:rsidRPr="005F552C">
        <w:t>PPEALS</w:t>
      </w:r>
      <w:bookmarkEnd w:id="22"/>
    </w:p>
    <w:p w14:paraId="6B5C433A" w14:textId="77777777" w:rsidR="00314236" w:rsidRPr="009E249A" w:rsidRDefault="00314236" w:rsidP="006A44EF">
      <w:pPr>
        <w:pStyle w:val="NoSpacing"/>
        <w:spacing w:line="240" w:lineRule="auto"/>
        <w:rPr>
          <w:rFonts w:ascii="Arial" w:hAnsi="Arial" w:cs="Arial"/>
          <w:b/>
          <w:highlight w:val="yellow"/>
        </w:rPr>
      </w:pPr>
    </w:p>
    <w:p w14:paraId="4D8BF158" w14:textId="77777777" w:rsidR="00F47232" w:rsidRPr="005F552C" w:rsidRDefault="00103DD3" w:rsidP="006A44EF">
      <w:pPr>
        <w:pStyle w:val="NoSpacing"/>
        <w:spacing w:line="240" w:lineRule="auto"/>
        <w:rPr>
          <w:rFonts w:ascii="Arial" w:hAnsi="Arial" w:cs="Arial"/>
        </w:rPr>
      </w:pPr>
      <w:r w:rsidRPr="005F552C">
        <w:rPr>
          <w:rFonts w:ascii="Arial" w:hAnsi="Arial" w:cs="Arial"/>
        </w:rPr>
        <w:t xml:space="preserve">Details of appeals </w:t>
      </w:r>
      <w:r w:rsidR="00AB76E7" w:rsidRPr="005F552C">
        <w:rPr>
          <w:rFonts w:ascii="Arial" w:hAnsi="Arial" w:cs="Arial"/>
        </w:rPr>
        <w:t xml:space="preserve">processes </w:t>
      </w:r>
      <w:r w:rsidRPr="005F552C">
        <w:rPr>
          <w:rFonts w:ascii="Arial" w:hAnsi="Arial" w:cs="Arial"/>
        </w:rPr>
        <w:t>can be found in the overarching policy for CHC</w:t>
      </w:r>
    </w:p>
    <w:p w14:paraId="0CB69EC1" w14:textId="77777777" w:rsidR="00172C11" w:rsidRDefault="00172C11" w:rsidP="00A76C62">
      <w:pPr>
        <w:pStyle w:val="NoSpacing"/>
        <w:spacing w:line="120" w:lineRule="auto"/>
        <w:rPr>
          <w:rFonts w:cs="Arial"/>
          <w:kern w:val="0"/>
        </w:rPr>
      </w:pPr>
    </w:p>
    <w:p w14:paraId="54F50729" w14:textId="77777777" w:rsidR="005F552C" w:rsidRPr="005F552C" w:rsidRDefault="005F552C" w:rsidP="00172C11">
      <w:pPr>
        <w:autoSpaceDE w:val="0"/>
        <w:autoSpaceDN w:val="0"/>
        <w:adjustRightInd w:val="0"/>
        <w:spacing w:line="276" w:lineRule="auto"/>
        <w:jc w:val="left"/>
        <w:rPr>
          <w:rFonts w:cs="Arial"/>
          <w:kern w:val="0"/>
          <w:szCs w:val="22"/>
        </w:rPr>
      </w:pPr>
    </w:p>
    <w:p w14:paraId="5720A0CF" w14:textId="77777777" w:rsidR="002D5C84" w:rsidRDefault="00C177DB" w:rsidP="002D5C84">
      <w:pPr>
        <w:pStyle w:val="Heading1"/>
      </w:pPr>
      <w:bookmarkStart w:id="23" w:name="_Toc26875387"/>
      <w:r w:rsidRPr="005F552C">
        <w:t>20</w:t>
      </w:r>
      <w:r w:rsidR="002D5C84" w:rsidRPr="005F552C">
        <w:t xml:space="preserve">. </w:t>
      </w:r>
      <w:r w:rsidR="00172C11" w:rsidRPr="005F552C">
        <w:t>R</w:t>
      </w:r>
      <w:r w:rsidR="002D5C84" w:rsidRPr="005F552C">
        <w:t>EFERENCES</w:t>
      </w:r>
      <w:bookmarkEnd w:id="23"/>
    </w:p>
    <w:p w14:paraId="19C61B24" w14:textId="77777777" w:rsidR="00172C11" w:rsidRPr="00D71D6E" w:rsidRDefault="00172C11" w:rsidP="00D71D6E">
      <w:pPr>
        <w:pStyle w:val="NoSpacing"/>
        <w:spacing w:line="240" w:lineRule="auto"/>
        <w:rPr>
          <w:rFonts w:ascii="Arial" w:hAnsi="Arial" w:cs="Arial"/>
        </w:rPr>
      </w:pPr>
      <w:r w:rsidRPr="00D71D6E">
        <w:rPr>
          <w:rFonts w:ascii="Arial" w:hAnsi="Arial" w:cs="Arial"/>
        </w:rPr>
        <w:t xml:space="preserve"> </w:t>
      </w:r>
    </w:p>
    <w:p w14:paraId="600BE3CE" w14:textId="77777777" w:rsidR="00172C11" w:rsidRPr="00D71D6E" w:rsidRDefault="00172C11" w:rsidP="00943F34">
      <w:pPr>
        <w:pStyle w:val="NoSpacing"/>
        <w:numPr>
          <w:ilvl w:val="0"/>
          <w:numId w:val="1"/>
        </w:numPr>
        <w:spacing w:line="240" w:lineRule="auto"/>
        <w:ind w:left="227" w:hanging="227"/>
        <w:rPr>
          <w:rFonts w:ascii="Arial" w:hAnsi="Arial" w:cs="Arial"/>
        </w:rPr>
      </w:pPr>
      <w:r w:rsidRPr="00D71D6E">
        <w:rPr>
          <w:rFonts w:ascii="Arial" w:hAnsi="Arial" w:cs="Arial"/>
        </w:rPr>
        <w:t xml:space="preserve">Evaluation of the personal health budget pilot programme. PSSSRU, November 2012. </w:t>
      </w:r>
    </w:p>
    <w:p w14:paraId="432F4AB9" w14:textId="77777777" w:rsidR="00172C11" w:rsidRPr="00D71D6E" w:rsidRDefault="00172C11" w:rsidP="00943F34">
      <w:pPr>
        <w:pStyle w:val="NoSpacing"/>
        <w:numPr>
          <w:ilvl w:val="0"/>
          <w:numId w:val="1"/>
        </w:numPr>
        <w:spacing w:line="240" w:lineRule="auto"/>
        <w:ind w:left="227" w:hanging="227"/>
        <w:rPr>
          <w:rFonts w:ascii="Arial" w:hAnsi="Arial" w:cs="Arial"/>
        </w:rPr>
      </w:pPr>
      <w:r w:rsidRPr="00D71D6E">
        <w:rPr>
          <w:rFonts w:ascii="Arial" w:hAnsi="Arial" w:cs="Arial"/>
        </w:rPr>
        <w:t xml:space="preserve">A guide to setting personal health budgets for people who are eligible for NHS Continuing Health Care. </w:t>
      </w:r>
      <w:proofErr w:type="spellStart"/>
      <w:r w:rsidRPr="00D71D6E">
        <w:rPr>
          <w:rFonts w:ascii="Arial" w:hAnsi="Arial" w:cs="Arial"/>
        </w:rPr>
        <w:t>DoH</w:t>
      </w:r>
      <w:proofErr w:type="spellEnd"/>
      <w:r w:rsidRPr="00D71D6E">
        <w:rPr>
          <w:rFonts w:ascii="Arial" w:hAnsi="Arial" w:cs="Arial"/>
        </w:rPr>
        <w:t xml:space="preserve">, April 2012. </w:t>
      </w:r>
    </w:p>
    <w:p w14:paraId="085282D6" w14:textId="77777777" w:rsidR="00172C11" w:rsidRPr="00D71D6E" w:rsidRDefault="00172C11" w:rsidP="00943F34">
      <w:pPr>
        <w:pStyle w:val="NoSpacing"/>
        <w:numPr>
          <w:ilvl w:val="0"/>
          <w:numId w:val="1"/>
        </w:numPr>
        <w:spacing w:line="240" w:lineRule="auto"/>
        <w:ind w:left="227" w:hanging="227"/>
        <w:rPr>
          <w:rFonts w:ascii="Arial" w:hAnsi="Arial" w:cs="Arial"/>
        </w:rPr>
      </w:pPr>
      <w:r w:rsidRPr="00D71D6E">
        <w:rPr>
          <w:rFonts w:ascii="Arial" w:hAnsi="Arial" w:cs="Arial"/>
        </w:rPr>
        <w:t xml:space="preserve">Mental Capacity Act 2005, www.legislation.gov.uk/ukpga/2005/9/contents </w:t>
      </w:r>
    </w:p>
    <w:p w14:paraId="6072073C" w14:textId="77777777" w:rsidR="00172C11" w:rsidRPr="00D71D6E" w:rsidRDefault="00172C11" w:rsidP="00943F34">
      <w:pPr>
        <w:pStyle w:val="NoSpacing"/>
        <w:numPr>
          <w:ilvl w:val="0"/>
          <w:numId w:val="1"/>
        </w:numPr>
        <w:spacing w:line="240" w:lineRule="auto"/>
        <w:ind w:left="227" w:hanging="227"/>
        <w:rPr>
          <w:rFonts w:ascii="Arial" w:hAnsi="Arial" w:cs="Arial"/>
        </w:rPr>
      </w:pPr>
      <w:r w:rsidRPr="00D71D6E">
        <w:rPr>
          <w:rFonts w:ascii="Arial" w:hAnsi="Arial" w:cs="Arial"/>
        </w:rPr>
        <w:t xml:space="preserve">Personal Health Budgets Guide – Implementing effective care practice, </w:t>
      </w:r>
      <w:proofErr w:type="spellStart"/>
      <w:r w:rsidRPr="00D71D6E">
        <w:rPr>
          <w:rFonts w:ascii="Arial" w:hAnsi="Arial" w:cs="Arial"/>
        </w:rPr>
        <w:t>DoH</w:t>
      </w:r>
      <w:proofErr w:type="spellEnd"/>
      <w:r w:rsidRPr="00D71D6E">
        <w:rPr>
          <w:rFonts w:ascii="Arial" w:hAnsi="Arial" w:cs="Arial"/>
        </w:rPr>
        <w:t xml:space="preserve">, June 2012 </w:t>
      </w:r>
    </w:p>
    <w:p w14:paraId="118C6B2E" w14:textId="77777777" w:rsidR="00172C11" w:rsidRPr="00D71D6E" w:rsidRDefault="00172C11" w:rsidP="00943F34">
      <w:pPr>
        <w:pStyle w:val="NoSpacing"/>
        <w:numPr>
          <w:ilvl w:val="0"/>
          <w:numId w:val="1"/>
        </w:numPr>
        <w:spacing w:line="240" w:lineRule="auto"/>
        <w:ind w:left="227" w:hanging="227"/>
        <w:rPr>
          <w:rFonts w:ascii="Arial" w:hAnsi="Arial" w:cs="Arial"/>
        </w:rPr>
      </w:pPr>
      <w:r w:rsidRPr="00D71D6E">
        <w:rPr>
          <w:rFonts w:ascii="Arial" w:hAnsi="Arial" w:cs="Arial"/>
        </w:rPr>
        <w:t xml:space="preserve">Personal Health Budgets: Early experiences of budget holders, Fourth Interim Report. PSSRU, October 2011. </w:t>
      </w:r>
    </w:p>
    <w:p w14:paraId="52F88A25" w14:textId="77777777" w:rsidR="00172C11" w:rsidRPr="00D71D6E" w:rsidRDefault="00172C11" w:rsidP="00943F34">
      <w:pPr>
        <w:pStyle w:val="NoSpacing"/>
        <w:numPr>
          <w:ilvl w:val="0"/>
          <w:numId w:val="1"/>
        </w:numPr>
        <w:spacing w:line="240" w:lineRule="auto"/>
        <w:ind w:left="227" w:hanging="227"/>
        <w:rPr>
          <w:rFonts w:ascii="Arial" w:hAnsi="Arial" w:cs="Arial"/>
        </w:rPr>
      </w:pPr>
      <w:r w:rsidRPr="00D71D6E">
        <w:rPr>
          <w:rFonts w:ascii="Arial" w:hAnsi="Arial" w:cs="Arial"/>
        </w:rPr>
        <w:t xml:space="preserve">Personal health budgets guide – The future system for personalised health care. Personal health budgets delivery team and the National personal health budgets Provider Development Forum, September 2012. </w:t>
      </w:r>
    </w:p>
    <w:p w14:paraId="23D87D64" w14:textId="77777777" w:rsidR="00172C11" w:rsidRPr="00D71D6E" w:rsidRDefault="00172C11" w:rsidP="00943F34">
      <w:pPr>
        <w:pStyle w:val="NoSpacing"/>
        <w:numPr>
          <w:ilvl w:val="0"/>
          <w:numId w:val="1"/>
        </w:numPr>
        <w:spacing w:line="240" w:lineRule="auto"/>
        <w:ind w:left="227" w:hanging="227"/>
        <w:rPr>
          <w:rFonts w:ascii="Arial" w:hAnsi="Arial" w:cs="Arial"/>
        </w:rPr>
      </w:pPr>
      <w:r w:rsidRPr="00D71D6E">
        <w:rPr>
          <w:rFonts w:ascii="Arial" w:hAnsi="Arial" w:cs="Arial"/>
        </w:rPr>
        <w:t xml:space="preserve">Personal Health budgets: A guide for GP’s. Royal College of General Practitioners, January 2013. </w:t>
      </w:r>
    </w:p>
    <w:p w14:paraId="434F37E6" w14:textId="77777777" w:rsidR="000A21AA" w:rsidRDefault="00172C11" w:rsidP="00943F34">
      <w:pPr>
        <w:pStyle w:val="NoSpacing"/>
        <w:numPr>
          <w:ilvl w:val="0"/>
          <w:numId w:val="1"/>
        </w:numPr>
        <w:spacing w:line="240" w:lineRule="auto"/>
        <w:ind w:left="227" w:hanging="227"/>
        <w:rPr>
          <w:rFonts w:ascii="Arial" w:hAnsi="Arial" w:cs="Arial"/>
        </w:rPr>
      </w:pPr>
      <w:r w:rsidRPr="00D71D6E">
        <w:rPr>
          <w:rFonts w:ascii="Arial" w:hAnsi="Arial" w:cs="Arial"/>
        </w:rPr>
        <w:t xml:space="preserve">7 criteria for a good personal health plan. In Control, </w:t>
      </w:r>
    </w:p>
    <w:p w14:paraId="512052D6" w14:textId="77777777" w:rsidR="00172C11" w:rsidRPr="000A21AA" w:rsidRDefault="00172C11" w:rsidP="000A21AA">
      <w:pPr>
        <w:pStyle w:val="NoSpacing"/>
        <w:spacing w:line="240" w:lineRule="auto"/>
        <w:ind w:left="227"/>
        <w:rPr>
          <w:rFonts w:ascii="Arial" w:hAnsi="Arial" w:cs="Arial"/>
        </w:rPr>
      </w:pPr>
      <w:r w:rsidRPr="000A21AA">
        <w:rPr>
          <w:rFonts w:ascii="Arial" w:hAnsi="Arial" w:cs="Arial"/>
        </w:rPr>
        <w:t xml:space="preserve">www.supportplanning.org/HealthBudgets/health_budgets.html </w:t>
      </w:r>
    </w:p>
    <w:p w14:paraId="6016C53D" w14:textId="77777777" w:rsidR="00172C11" w:rsidRPr="00D71D6E" w:rsidRDefault="00172C11" w:rsidP="00943F34">
      <w:pPr>
        <w:pStyle w:val="NoSpacing"/>
        <w:numPr>
          <w:ilvl w:val="0"/>
          <w:numId w:val="1"/>
        </w:numPr>
        <w:spacing w:line="240" w:lineRule="auto"/>
        <w:ind w:left="227" w:hanging="227"/>
        <w:rPr>
          <w:rFonts w:ascii="Arial" w:hAnsi="Arial" w:cs="Arial"/>
        </w:rPr>
      </w:pPr>
      <w:r w:rsidRPr="00D71D6E">
        <w:rPr>
          <w:rFonts w:ascii="Arial" w:hAnsi="Arial" w:cs="Arial"/>
        </w:rPr>
        <w:t xml:space="preserve">Personal health budgets guide. Integrating personal budgets – early learning. Personal Health Budgets Delivery Team, October 2012. </w:t>
      </w:r>
    </w:p>
    <w:p w14:paraId="6499ABC5" w14:textId="77777777" w:rsidR="00172C11" w:rsidRPr="00D71D6E" w:rsidRDefault="00172C11" w:rsidP="00943F34">
      <w:pPr>
        <w:pStyle w:val="NoSpacing"/>
        <w:numPr>
          <w:ilvl w:val="0"/>
          <w:numId w:val="1"/>
        </w:numPr>
        <w:spacing w:line="240" w:lineRule="auto"/>
        <w:ind w:left="227" w:hanging="227"/>
        <w:rPr>
          <w:rFonts w:ascii="Arial" w:hAnsi="Arial" w:cs="Arial"/>
        </w:rPr>
      </w:pPr>
      <w:r w:rsidRPr="00D71D6E">
        <w:rPr>
          <w:rFonts w:ascii="Arial" w:hAnsi="Arial" w:cs="Arial"/>
        </w:rPr>
        <w:t xml:space="preserve">Independence, </w:t>
      </w:r>
      <w:proofErr w:type="gramStart"/>
      <w:r w:rsidRPr="00D71D6E">
        <w:rPr>
          <w:rFonts w:ascii="Arial" w:hAnsi="Arial" w:cs="Arial"/>
        </w:rPr>
        <w:t>Choice</w:t>
      </w:r>
      <w:proofErr w:type="gramEnd"/>
      <w:r w:rsidRPr="00D71D6E">
        <w:rPr>
          <w:rFonts w:ascii="Arial" w:hAnsi="Arial" w:cs="Arial"/>
        </w:rPr>
        <w:t xml:space="preserve"> and risk: a guide to best practice in supported decision making. Department of Health, May 2007. </w:t>
      </w:r>
    </w:p>
    <w:p w14:paraId="765F9302" w14:textId="77777777" w:rsidR="009E79CE" w:rsidRPr="00D71D6E" w:rsidRDefault="00172C11" w:rsidP="00943F34">
      <w:pPr>
        <w:pStyle w:val="NoSpacing"/>
        <w:numPr>
          <w:ilvl w:val="0"/>
          <w:numId w:val="1"/>
        </w:numPr>
        <w:spacing w:line="240" w:lineRule="auto"/>
        <w:ind w:left="227" w:hanging="227"/>
        <w:rPr>
          <w:rFonts w:ascii="Arial" w:hAnsi="Arial" w:cs="Arial"/>
        </w:rPr>
      </w:pPr>
      <w:r w:rsidRPr="00D71D6E">
        <w:rPr>
          <w:rFonts w:ascii="Arial" w:hAnsi="Arial" w:cs="Arial"/>
        </w:rPr>
        <w:lastRenderedPageBreak/>
        <w:t xml:space="preserve">Personal health budgets guide. How to get good results – key learning from the evaluation. </w:t>
      </w:r>
      <w:hyperlink r:id="rId13" w:history="1">
        <w:r w:rsidR="009E79CE" w:rsidRPr="002D5C84">
          <w:rPr>
            <w:rFonts w:ascii="Arial" w:hAnsi="Arial" w:cs="Arial"/>
          </w:rPr>
          <w:t>www.personalhealthbudgets.england.nhs.uk/Topics/Toolkit/GetGoodResults</w:t>
        </w:r>
      </w:hyperlink>
    </w:p>
    <w:p w14:paraId="4B97A9E3" w14:textId="77777777" w:rsidR="00624F2E" w:rsidRPr="000A21AA" w:rsidRDefault="009E79CE" w:rsidP="00943F34">
      <w:pPr>
        <w:pStyle w:val="NoSpacing"/>
        <w:numPr>
          <w:ilvl w:val="0"/>
          <w:numId w:val="1"/>
        </w:numPr>
        <w:spacing w:line="240" w:lineRule="auto"/>
        <w:ind w:left="227" w:hanging="227"/>
        <w:rPr>
          <w:rFonts w:ascii="Arial" w:hAnsi="Arial" w:cs="Arial"/>
        </w:rPr>
      </w:pPr>
      <w:r w:rsidRPr="00D71D6E">
        <w:rPr>
          <w:rFonts w:ascii="Arial" w:hAnsi="Arial" w:cs="Arial"/>
        </w:rPr>
        <w:t xml:space="preserve">NELCCG Ethical and Pragmatic </w:t>
      </w:r>
      <w:proofErr w:type="gramStart"/>
      <w:r w:rsidRPr="00D71D6E">
        <w:rPr>
          <w:rFonts w:ascii="Arial" w:hAnsi="Arial" w:cs="Arial"/>
        </w:rPr>
        <w:t>Decision Making</w:t>
      </w:r>
      <w:proofErr w:type="gramEnd"/>
      <w:r w:rsidRPr="00D71D6E">
        <w:rPr>
          <w:rFonts w:ascii="Arial" w:hAnsi="Arial" w:cs="Arial"/>
        </w:rPr>
        <w:t xml:space="preserve"> Policy</w:t>
      </w:r>
      <w:r w:rsidR="00172C11" w:rsidRPr="00D71D6E">
        <w:rPr>
          <w:rFonts w:ascii="Arial" w:hAnsi="Arial" w:cs="Arial"/>
        </w:rPr>
        <w:t xml:space="preserve"> </w:t>
      </w:r>
    </w:p>
    <w:sectPr w:rsidR="00624F2E" w:rsidRPr="000A21AA" w:rsidSect="00757960">
      <w:footerReference w:type="default" r:id="rId14"/>
      <w:headerReference w:type="first" r:id="rId15"/>
      <w:footerReference w:type="first" r:id="rId16"/>
      <w:pgSz w:w="11906" w:h="16838"/>
      <w:pgMar w:top="1134" w:right="1134" w:bottom="1134" w:left="1134" w:header="709" w:footer="709" w:gutter="0"/>
      <w:cols w:space="72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B744" w14:textId="77777777" w:rsidR="009910F5" w:rsidRDefault="009910F5">
      <w:r>
        <w:separator/>
      </w:r>
    </w:p>
  </w:endnote>
  <w:endnote w:type="continuationSeparator" w:id="0">
    <w:p w14:paraId="392D24CE" w14:textId="77777777" w:rsidR="009910F5" w:rsidRDefault="0099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font301">
    <w:altName w:val="Times New Roman"/>
    <w:charset w:val="00"/>
    <w:family w:val="auto"/>
    <w:pitch w:val="variable"/>
  </w:font>
  <w:font w:name="font302">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EC1D" w14:textId="77777777" w:rsidR="009910F5" w:rsidRDefault="009910F5">
    <w:pPr>
      <w:pStyle w:val="Footer"/>
    </w:pPr>
    <w:r>
      <w:rPr>
        <w:sz w:val="16"/>
        <w:szCs w:val="16"/>
      </w:rPr>
      <w:tab/>
    </w:r>
    <w:r>
      <w:rPr>
        <w:sz w:val="16"/>
        <w:szCs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F1F8" w14:textId="01331FD8" w:rsidR="009910F5" w:rsidRDefault="009910F5">
    <w:pPr>
      <w:pStyle w:val="Footer"/>
      <w:jc w:val="right"/>
    </w:pPr>
    <w:r>
      <w:t xml:space="preserve">Page </w:t>
    </w:r>
    <w:r>
      <w:fldChar w:fldCharType="begin"/>
    </w:r>
    <w:r>
      <w:instrText xml:space="preserve"> PAGE   \* MERGEFORMAT </w:instrText>
    </w:r>
    <w:r>
      <w:fldChar w:fldCharType="separate"/>
    </w:r>
    <w:r w:rsidR="00F565A3">
      <w:rPr>
        <w:noProof/>
      </w:rPr>
      <w:t>20</w:t>
    </w:r>
    <w:r>
      <w:rPr>
        <w:noProof/>
      </w:rPr>
      <w:fldChar w:fldCharType="end"/>
    </w:r>
  </w:p>
  <w:p w14:paraId="62D26001" w14:textId="77777777" w:rsidR="009910F5" w:rsidRDefault="009910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6EDE" w14:textId="4ED0A3D3" w:rsidR="009910F5" w:rsidRDefault="009910F5">
    <w:pPr>
      <w:pStyle w:val="Footer"/>
      <w:jc w:val="right"/>
    </w:pPr>
    <w:r>
      <w:t xml:space="preserve">Page </w:t>
    </w:r>
    <w:r>
      <w:fldChar w:fldCharType="begin"/>
    </w:r>
    <w:r>
      <w:instrText xml:space="preserve"> PAGE   \* MERGEFORMAT </w:instrText>
    </w:r>
    <w:r>
      <w:fldChar w:fldCharType="separate"/>
    </w:r>
    <w:r w:rsidR="00F565A3">
      <w:rPr>
        <w:noProof/>
      </w:rPr>
      <w:t>4</w:t>
    </w:r>
    <w:r>
      <w:rPr>
        <w:noProof/>
      </w:rPr>
      <w:fldChar w:fldCharType="end"/>
    </w:r>
  </w:p>
  <w:p w14:paraId="0154FC5D" w14:textId="77777777" w:rsidR="009910F5" w:rsidRDefault="00991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968BF" w14:textId="77777777" w:rsidR="009910F5" w:rsidRDefault="009910F5">
      <w:r>
        <w:separator/>
      </w:r>
    </w:p>
  </w:footnote>
  <w:footnote w:type="continuationSeparator" w:id="0">
    <w:p w14:paraId="3F295770" w14:textId="77777777" w:rsidR="009910F5" w:rsidRDefault="00991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C766" w14:textId="77777777" w:rsidR="009910F5" w:rsidRDefault="009910F5">
    <w:pPr>
      <w:pStyle w:val="Header"/>
      <w:jc w:val="right"/>
    </w:pPr>
    <w:r>
      <w:rPr>
        <w:noProof/>
      </w:rPr>
      <w:drawing>
        <wp:inline distT="0" distB="0" distL="0" distR="0" wp14:anchorId="6DE27440" wp14:editId="2392AB0C">
          <wp:extent cx="1905000"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077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B0EC" w14:textId="77777777" w:rsidR="009910F5" w:rsidRDefault="009910F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15:restartNumberingAfterBreak="0">
    <w:nsid w:val="00000002"/>
    <w:multiLevelType w:val="multilevel"/>
    <w:tmpl w:val="00000002"/>
    <w:name w:val="WWNum7"/>
    <w:lvl w:ilvl="0">
      <w:start w:val="1"/>
      <w:numFmt w:val="decimal"/>
      <w:lvlText w:val="%1."/>
      <w:lvlJc w:val="left"/>
      <w:pPr>
        <w:tabs>
          <w:tab w:val="num" w:pos="0"/>
        </w:tabs>
        <w:ind w:left="1069"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0000003"/>
    <w:multiLevelType w:val="multilevel"/>
    <w:tmpl w:val="00000003"/>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369444F"/>
    <w:multiLevelType w:val="hybridMultilevel"/>
    <w:tmpl w:val="8314008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15:restartNumberingAfterBreak="0">
    <w:nsid w:val="163C204E"/>
    <w:multiLevelType w:val="hybridMultilevel"/>
    <w:tmpl w:val="13CA90F0"/>
    <w:lvl w:ilvl="0" w:tplc="08090003">
      <w:start w:val="1"/>
      <w:numFmt w:val="bullet"/>
      <w:lvlText w:val="o"/>
      <w:lvlJc w:val="left"/>
      <w:pPr>
        <w:ind w:left="947" w:hanging="360"/>
      </w:pPr>
      <w:rPr>
        <w:rFonts w:ascii="Courier New" w:hAnsi="Courier New" w:cs="Courier New"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5" w15:restartNumberingAfterBreak="0">
    <w:nsid w:val="1D8C3230"/>
    <w:multiLevelType w:val="hybridMultilevel"/>
    <w:tmpl w:val="1A8E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73ADD"/>
    <w:multiLevelType w:val="hybridMultilevel"/>
    <w:tmpl w:val="8214DC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362A5C"/>
    <w:multiLevelType w:val="hybridMultilevel"/>
    <w:tmpl w:val="79286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1A3168"/>
    <w:multiLevelType w:val="hybridMultilevel"/>
    <w:tmpl w:val="4C1C346C"/>
    <w:lvl w:ilvl="0" w:tplc="5A72404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642E80"/>
    <w:multiLevelType w:val="multilevel"/>
    <w:tmpl w:val="5B86A600"/>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0" w15:restartNumberingAfterBreak="0">
    <w:nsid w:val="56BE782E"/>
    <w:multiLevelType w:val="hybridMultilevel"/>
    <w:tmpl w:val="7E80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464F3E"/>
    <w:multiLevelType w:val="hybridMultilevel"/>
    <w:tmpl w:val="A98A8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AC054B"/>
    <w:multiLevelType w:val="hybridMultilevel"/>
    <w:tmpl w:val="838E4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CF3B39"/>
    <w:multiLevelType w:val="hybridMultilevel"/>
    <w:tmpl w:val="9618A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75338A"/>
    <w:multiLevelType w:val="hybridMultilevel"/>
    <w:tmpl w:val="CD84D1F4"/>
    <w:lvl w:ilvl="0" w:tplc="08090001">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start w:val="1"/>
      <w:numFmt w:val="bullet"/>
      <w:lvlText w:val=""/>
      <w:lvlJc w:val="left"/>
      <w:pPr>
        <w:ind w:left="2580" w:hanging="360"/>
      </w:pPr>
      <w:rPr>
        <w:rFonts w:ascii="Wingdings" w:hAnsi="Wingdings" w:hint="default"/>
      </w:rPr>
    </w:lvl>
    <w:lvl w:ilvl="3" w:tplc="08090001">
      <w:start w:val="1"/>
      <w:numFmt w:val="bullet"/>
      <w:lvlText w:val=""/>
      <w:lvlJc w:val="left"/>
      <w:pPr>
        <w:ind w:left="3300" w:hanging="360"/>
      </w:pPr>
      <w:rPr>
        <w:rFonts w:ascii="Symbol" w:hAnsi="Symbol" w:hint="default"/>
      </w:rPr>
    </w:lvl>
    <w:lvl w:ilvl="4" w:tplc="08090003">
      <w:start w:val="1"/>
      <w:numFmt w:val="bullet"/>
      <w:lvlText w:val="o"/>
      <w:lvlJc w:val="left"/>
      <w:pPr>
        <w:ind w:left="4020" w:hanging="360"/>
      </w:pPr>
      <w:rPr>
        <w:rFonts w:ascii="Courier New" w:hAnsi="Courier New" w:cs="Courier New" w:hint="default"/>
      </w:rPr>
    </w:lvl>
    <w:lvl w:ilvl="5" w:tplc="08090005">
      <w:start w:val="1"/>
      <w:numFmt w:val="bullet"/>
      <w:lvlText w:val=""/>
      <w:lvlJc w:val="left"/>
      <w:pPr>
        <w:ind w:left="4740" w:hanging="360"/>
      </w:pPr>
      <w:rPr>
        <w:rFonts w:ascii="Wingdings" w:hAnsi="Wingdings" w:hint="default"/>
      </w:rPr>
    </w:lvl>
    <w:lvl w:ilvl="6" w:tplc="08090001">
      <w:start w:val="1"/>
      <w:numFmt w:val="bullet"/>
      <w:lvlText w:val=""/>
      <w:lvlJc w:val="left"/>
      <w:pPr>
        <w:ind w:left="5460" w:hanging="360"/>
      </w:pPr>
      <w:rPr>
        <w:rFonts w:ascii="Symbol" w:hAnsi="Symbol" w:hint="default"/>
      </w:rPr>
    </w:lvl>
    <w:lvl w:ilvl="7" w:tplc="08090003">
      <w:start w:val="1"/>
      <w:numFmt w:val="bullet"/>
      <w:lvlText w:val="o"/>
      <w:lvlJc w:val="left"/>
      <w:pPr>
        <w:ind w:left="6180" w:hanging="360"/>
      </w:pPr>
      <w:rPr>
        <w:rFonts w:ascii="Courier New" w:hAnsi="Courier New" w:cs="Courier New" w:hint="default"/>
      </w:rPr>
    </w:lvl>
    <w:lvl w:ilvl="8" w:tplc="08090005">
      <w:start w:val="1"/>
      <w:numFmt w:val="bullet"/>
      <w:lvlText w:val=""/>
      <w:lvlJc w:val="left"/>
      <w:pPr>
        <w:ind w:left="6900" w:hanging="360"/>
      </w:pPr>
      <w:rPr>
        <w:rFonts w:ascii="Wingdings" w:hAnsi="Wingdings" w:hint="default"/>
      </w:rPr>
    </w:lvl>
  </w:abstractNum>
  <w:abstractNum w:abstractNumId="15" w15:restartNumberingAfterBreak="0">
    <w:nsid w:val="710630B4"/>
    <w:multiLevelType w:val="hybridMultilevel"/>
    <w:tmpl w:val="6BDC3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7"/>
  </w:num>
  <w:num w:numId="4">
    <w:abstractNumId w:val="4"/>
  </w:num>
  <w:num w:numId="5">
    <w:abstractNumId w:val="10"/>
  </w:num>
  <w:num w:numId="6">
    <w:abstractNumId w:val="5"/>
  </w:num>
  <w:num w:numId="7">
    <w:abstractNumId w:val="11"/>
  </w:num>
  <w:num w:numId="8">
    <w:abstractNumId w:val="15"/>
  </w:num>
  <w:num w:numId="9">
    <w:abstractNumId w:val="13"/>
  </w:num>
  <w:num w:numId="10">
    <w:abstractNumId w:val="14"/>
  </w:num>
  <w:num w:numId="11">
    <w:abstractNumId w:val="9"/>
  </w:num>
  <w:num w:numId="12">
    <w:abstractNumId w:val="3"/>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24" w:allStyles="0" w:customStyles="0" w:latentStyles="1" w:stylesInUse="0" w:headingStyles="1" w:numberingStyles="0" w:tableStyles="0" w:directFormattingOnRuns="0" w:directFormattingOnParagraphs="0" w:directFormattingOnNumbering="0" w:directFormattingOnTables="0" w:clearFormatting="0" w:top3HeadingStyles="0" w:visibleStyles="0" w:alternateStyleNames="0"/>
  <w:stylePaneSortMethod w:val="0004"/>
  <w:defaultTabStop w:val="28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3B9"/>
    <w:rsid w:val="0000369F"/>
    <w:rsid w:val="00020A26"/>
    <w:rsid w:val="00021DA1"/>
    <w:rsid w:val="00021E56"/>
    <w:rsid w:val="000256D0"/>
    <w:rsid w:val="000318EE"/>
    <w:rsid w:val="00035545"/>
    <w:rsid w:val="00037227"/>
    <w:rsid w:val="00042F7C"/>
    <w:rsid w:val="000826B5"/>
    <w:rsid w:val="000A21AA"/>
    <w:rsid w:val="000A58B9"/>
    <w:rsid w:val="000E1965"/>
    <w:rsid w:val="000E5B08"/>
    <w:rsid w:val="00103DD3"/>
    <w:rsid w:val="001040AB"/>
    <w:rsid w:val="00113C2D"/>
    <w:rsid w:val="001214BC"/>
    <w:rsid w:val="00121763"/>
    <w:rsid w:val="001232D5"/>
    <w:rsid w:val="00135009"/>
    <w:rsid w:val="00151B91"/>
    <w:rsid w:val="00153ACD"/>
    <w:rsid w:val="0016124D"/>
    <w:rsid w:val="00172C11"/>
    <w:rsid w:val="001764FE"/>
    <w:rsid w:val="0019373E"/>
    <w:rsid w:val="00196230"/>
    <w:rsid w:val="00197149"/>
    <w:rsid w:val="001A2D81"/>
    <w:rsid w:val="001C7AFC"/>
    <w:rsid w:val="001D2216"/>
    <w:rsid w:val="001E1F63"/>
    <w:rsid w:val="001E3007"/>
    <w:rsid w:val="001E6E5A"/>
    <w:rsid w:val="002017B4"/>
    <w:rsid w:val="00204CE6"/>
    <w:rsid w:val="002158E4"/>
    <w:rsid w:val="00216727"/>
    <w:rsid w:val="00225FBC"/>
    <w:rsid w:val="002331E5"/>
    <w:rsid w:val="0023452C"/>
    <w:rsid w:val="00241E31"/>
    <w:rsid w:val="00243C29"/>
    <w:rsid w:val="0025573D"/>
    <w:rsid w:val="00266C9B"/>
    <w:rsid w:val="002676E8"/>
    <w:rsid w:val="002A06A9"/>
    <w:rsid w:val="002B5A68"/>
    <w:rsid w:val="002D5C84"/>
    <w:rsid w:val="002D7C4E"/>
    <w:rsid w:val="002E3D50"/>
    <w:rsid w:val="002E7520"/>
    <w:rsid w:val="003103D9"/>
    <w:rsid w:val="00314236"/>
    <w:rsid w:val="00331A0B"/>
    <w:rsid w:val="0033301F"/>
    <w:rsid w:val="00366192"/>
    <w:rsid w:val="003710E0"/>
    <w:rsid w:val="0038094B"/>
    <w:rsid w:val="003A4F5C"/>
    <w:rsid w:val="003B2354"/>
    <w:rsid w:val="003C0997"/>
    <w:rsid w:val="003D667A"/>
    <w:rsid w:val="003D7F38"/>
    <w:rsid w:val="003E72F3"/>
    <w:rsid w:val="00457602"/>
    <w:rsid w:val="0046612E"/>
    <w:rsid w:val="004671FF"/>
    <w:rsid w:val="00477BF2"/>
    <w:rsid w:val="004946BD"/>
    <w:rsid w:val="00497B7E"/>
    <w:rsid w:val="004A06B4"/>
    <w:rsid w:val="004A0A9F"/>
    <w:rsid w:val="004A0C47"/>
    <w:rsid w:val="004A4D86"/>
    <w:rsid w:val="004A6BD1"/>
    <w:rsid w:val="004A729B"/>
    <w:rsid w:val="004B59B4"/>
    <w:rsid w:val="004C3ECC"/>
    <w:rsid w:val="004C5F69"/>
    <w:rsid w:val="004D2B98"/>
    <w:rsid w:val="004D4378"/>
    <w:rsid w:val="004F0BD3"/>
    <w:rsid w:val="004F1FC2"/>
    <w:rsid w:val="00503917"/>
    <w:rsid w:val="00504C73"/>
    <w:rsid w:val="00505617"/>
    <w:rsid w:val="00514298"/>
    <w:rsid w:val="00516A73"/>
    <w:rsid w:val="005201BD"/>
    <w:rsid w:val="00523535"/>
    <w:rsid w:val="00527266"/>
    <w:rsid w:val="00542EF1"/>
    <w:rsid w:val="00546B09"/>
    <w:rsid w:val="00546C40"/>
    <w:rsid w:val="0055044C"/>
    <w:rsid w:val="0055572D"/>
    <w:rsid w:val="00555AA2"/>
    <w:rsid w:val="00557E12"/>
    <w:rsid w:val="00571F67"/>
    <w:rsid w:val="00573544"/>
    <w:rsid w:val="005735BA"/>
    <w:rsid w:val="0057415B"/>
    <w:rsid w:val="00585D4A"/>
    <w:rsid w:val="00591DDB"/>
    <w:rsid w:val="005944F2"/>
    <w:rsid w:val="005A4158"/>
    <w:rsid w:val="005A6371"/>
    <w:rsid w:val="005A6741"/>
    <w:rsid w:val="005C4F79"/>
    <w:rsid w:val="005D38E0"/>
    <w:rsid w:val="005D3D84"/>
    <w:rsid w:val="005E427D"/>
    <w:rsid w:val="005F552C"/>
    <w:rsid w:val="00606F85"/>
    <w:rsid w:val="00624F2E"/>
    <w:rsid w:val="00630873"/>
    <w:rsid w:val="006362FF"/>
    <w:rsid w:val="00642D53"/>
    <w:rsid w:val="00657963"/>
    <w:rsid w:val="0066724A"/>
    <w:rsid w:val="00670A84"/>
    <w:rsid w:val="00671FDC"/>
    <w:rsid w:val="0067500F"/>
    <w:rsid w:val="006759C6"/>
    <w:rsid w:val="0068065E"/>
    <w:rsid w:val="00697B5C"/>
    <w:rsid w:val="006A44EF"/>
    <w:rsid w:val="006A45A7"/>
    <w:rsid w:val="006C3D47"/>
    <w:rsid w:val="006C4B8B"/>
    <w:rsid w:val="006E5779"/>
    <w:rsid w:val="006E5C95"/>
    <w:rsid w:val="007114F3"/>
    <w:rsid w:val="007128F2"/>
    <w:rsid w:val="0074169C"/>
    <w:rsid w:val="0074249F"/>
    <w:rsid w:val="007523C6"/>
    <w:rsid w:val="00757960"/>
    <w:rsid w:val="00763DD5"/>
    <w:rsid w:val="00765C90"/>
    <w:rsid w:val="00766467"/>
    <w:rsid w:val="007776F5"/>
    <w:rsid w:val="00782123"/>
    <w:rsid w:val="00794B5E"/>
    <w:rsid w:val="007B6D76"/>
    <w:rsid w:val="007B7C47"/>
    <w:rsid w:val="007E4CCB"/>
    <w:rsid w:val="007F449E"/>
    <w:rsid w:val="008231E2"/>
    <w:rsid w:val="0082322B"/>
    <w:rsid w:val="008268CA"/>
    <w:rsid w:val="00835B62"/>
    <w:rsid w:val="00836721"/>
    <w:rsid w:val="00841A0B"/>
    <w:rsid w:val="008454B6"/>
    <w:rsid w:val="00846F97"/>
    <w:rsid w:val="00860ABD"/>
    <w:rsid w:val="00870636"/>
    <w:rsid w:val="008708CF"/>
    <w:rsid w:val="008709CA"/>
    <w:rsid w:val="0088043A"/>
    <w:rsid w:val="00883D6D"/>
    <w:rsid w:val="008949CF"/>
    <w:rsid w:val="008B2741"/>
    <w:rsid w:val="008B5BDD"/>
    <w:rsid w:val="008E402E"/>
    <w:rsid w:val="008F1354"/>
    <w:rsid w:val="00900ABA"/>
    <w:rsid w:val="00902EC4"/>
    <w:rsid w:val="00916E08"/>
    <w:rsid w:val="00917A91"/>
    <w:rsid w:val="009256EE"/>
    <w:rsid w:val="00943F34"/>
    <w:rsid w:val="00946D9F"/>
    <w:rsid w:val="00947BE2"/>
    <w:rsid w:val="00955600"/>
    <w:rsid w:val="00955910"/>
    <w:rsid w:val="00960BF7"/>
    <w:rsid w:val="00961A58"/>
    <w:rsid w:val="00962552"/>
    <w:rsid w:val="00966F45"/>
    <w:rsid w:val="00983741"/>
    <w:rsid w:val="009910F5"/>
    <w:rsid w:val="00994AE9"/>
    <w:rsid w:val="009B285C"/>
    <w:rsid w:val="009C2537"/>
    <w:rsid w:val="009E249A"/>
    <w:rsid w:val="009E291A"/>
    <w:rsid w:val="009E6739"/>
    <w:rsid w:val="009E79CE"/>
    <w:rsid w:val="009F2F9A"/>
    <w:rsid w:val="00A005EF"/>
    <w:rsid w:val="00A14D42"/>
    <w:rsid w:val="00A56CD2"/>
    <w:rsid w:val="00A76C62"/>
    <w:rsid w:val="00A83867"/>
    <w:rsid w:val="00A853B9"/>
    <w:rsid w:val="00A868F0"/>
    <w:rsid w:val="00AA3B9D"/>
    <w:rsid w:val="00AB76E7"/>
    <w:rsid w:val="00AC422E"/>
    <w:rsid w:val="00AD6FF5"/>
    <w:rsid w:val="00AF0E59"/>
    <w:rsid w:val="00AF1827"/>
    <w:rsid w:val="00B3528E"/>
    <w:rsid w:val="00B43170"/>
    <w:rsid w:val="00B5636B"/>
    <w:rsid w:val="00B917F3"/>
    <w:rsid w:val="00B932E2"/>
    <w:rsid w:val="00B97C15"/>
    <w:rsid w:val="00BA5AAA"/>
    <w:rsid w:val="00BC4158"/>
    <w:rsid w:val="00BD73C7"/>
    <w:rsid w:val="00BE1478"/>
    <w:rsid w:val="00C0550E"/>
    <w:rsid w:val="00C077F4"/>
    <w:rsid w:val="00C177DB"/>
    <w:rsid w:val="00C20E0E"/>
    <w:rsid w:val="00C2457D"/>
    <w:rsid w:val="00C379DD"/>
    <w:rsid w:val="00C37B1C"/>
    <w:rsid w:val="00C54BB3"/>
    <w:rsid w:val="00C7470A"/>
    <w:rsid w:val="00C81D2A"/>
    <w:rsid w:val="00C81D54"/>
    <w:rsid w:val="00CA5462"/>
    <w:rsid w:val="00CA7D1B"/>
    <w:rsid w:val="00CB2144"/>
    <w:rsid w:val="00CB5FA2"/>
    <w:rsid w:val="00CE0B9A"/>
    <w:rsid w:val="00CE3AE1"/>
    <w:rsid w:val="00CF6891"/>
    <w:rsid w:val="00D15C60"/>
    <w:rsid w:val="00D16D18"/>
    <w:rsid w:val="00D520CA"/>
    <w:rsid w:val="00D55DC6"/>
    <w:rsid w:val="00D56885"/>
    <w:rsid w:val="00D574CB"/>
    <w:rsid w:val="00D663E1"/>
    <w:rsid w:val="00D676E9"/>
    <w:rsid w:val="00D71D6E"/>
    <w:rsid w:val="00D72675"/>
    <w:rsid w:val="00D72C8E"/>
    <w:rsid w:val="00D730DF"/>
    <w:rsid w:val="00DA7F79"/>
    <w:rsid w:val="00DB6B93"/>
    <w:rsid w:val="00DC34B8"/>
    <w:rsid w:val="00DD2713"/>
    <w:rsid w:val="00DD42C8"/>
    <w:rsid w:val="00DD6AD0"/>
    <w:rsid w:val="00DD77EE"/>
    <w:rsid w:val="00DF68FD"/>
    <w:rsid w:val="00E01A45"/>
    <w:rsid w:val="00E12FA4"/>
    <w:rsid w:val="00E227FA"/>
    <w:rsid w:val="00E34B02"/>
    <w:rsid w:val="00E36556"/>
    <w:rsid w:val="00E44206"/>
    <w:rsid w:val="00E518F9"/>
    <w:rsid w:val="00E579AB"/>
    <w:rsid w:val="00E665F4"/>
    <w:rsid w:val="00E81ACA"/>
    <w:rsid w:val="00EA69A0"/>
    <w:rsid w:val="00EB1CEB"/>
    <w:rsid w:val="00ED0CA8"/>
    <w:rsid w:val="00ED3A63"/>
    <w:rsid w:val="00ED52A3"/>
    <w:rsid w:val="00EE7B81"/>
    <w:rsid w:val="00EF16C8"/>
    <w:rsid w:val="00EF2FB2"/>
    <w:rsid w:val="00F10513"/>
    <w:rsid w:val="00F30E67"/>
    <w:rsid w:val="00F4309A"/>
    <w:rsid w:val="00F47232"/>
    <w:rsid w:val="00F565A3"/>
    <w:rsid w:val="00F5705D"/>
    <w:rsid w:val="00F60C09"/>
    <w:rsid w:val="00F65253"/>
    <w:rsid w:val="00F665BE"/>
    <w:rsid w:val="00F7173D"/>
    <w:rsid w:val="00F73003"/>
    <w:rsid w:val="00F94EB3"/>
    <w:rsid w:val="00FA043A"/>
    <w:rsid w:val="00FA0F63"/>
    <w:rsid w:val="00FA1E8A"/>
    <w:rsid w:val="00FA2AD9"/>
    <w:rsid w:val="00FC670D"/>
    <w:rsid w:val="00FF6669"/>
    <w:rsid w:val="00FF6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1BDC8E5"/>
  <w15:docId w15:val="{7C29A41C-47E7-4EFF-BDC1-6744C4D2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7B4"/>
    <w:pPr>
      <w:spacing w:line="360" w:lineRule="auto"/>
      <w:jc w:val="both"/>
    </w:pPr>
    <w:rPr>
      <w:rFonts w:ascii="Arial" w:hAnsi="Arial"/>
      <w:kern w:val="1"/>
      <w:sz w:val="22"/>
      <w:szCs w:val="24"/>
    </w:rPr>
  </w:style>
  <w:style w:type="paragraph" w:styleId="Heading1">
    <w:name w:val="heading 1"/>
    <w:basedOn w:val="Normal"/>
    <w:next w:val="Normal"/>
    <w:link w:val="Heading1Char"/>
    <w:uiPriority w:val="9"/>
    <w:qFormat/>
    <w:rsid w:val="004F0BD3"/>
    <w:pPr>
      <w:autoSpaceDE w:val="0"/>
      <w:autoSpaceDN w:val="0"/>
      <w:adjustRightInd w:val="0"/>
      <w:spacing w:line="276" w:lineRule="auto"/>
      <w:outlineLvl w:val="0"/>
    </w:pPr>
    <w:rPr>
      <w:rFonts w:cs="Arial"/>
      <w:b/>
      <w:szCs w:val="22"/>
    </w:rPr>
  </w:style>
  <w:style w:type="paragraph" w:styleId="Heading2">
    <w:name w:val="heading 2"/>
    <w:basedOn w:val="Normal"/>
    <w:next w:val="Normal"/>
    <w:link w:val="Heading2Char"/>
    <w:uiPriority w:val="9"/>
    <w:unhideWhenUsed/>
    <w:qFormat/>
    <w:rsid w:val="002017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eastAsia="Times New Roman" w:hAnsi="Tahoma" w:cs="Tahoma"/>
      <w:sz w:val="16"/>
      <w:szCs w:val="16"/>
      <w:lang w:eastAsia="en-GB"/>
    </w:rPr>
  </w:style>
  <w:style w:type="character" w:customStyle="1" w:styleId="HeaderChar">
    <w:name w:val="Header Char"/>
    <w:rPr>
      <w:rFonts w:ascii="Arial" w:eastAsia="Times New Roman" w:hAnsi="Arial" w:cs="Times New Roman"/>
      <w:szCs w:val="24"/>
      <w:lang w:eastAsia="en-GB"/>
    </w:rPr>
  </w:style>
  <w:style w:type="character" w:customStyle="1" w:styleId="FooterChar">
    <w:name w:val="Footer Char"/>
    <w:uiPriority w:val="99"/>
    <w:rPr>
      <w:rFonts w:ascii="Arial" w:eastAsia="Times New Roman" w:hAnsi="Arial" w:cs="Times New Roman"/>
      <w:szCs w:val="24"/>
      <w:lang w:eastAsia="en-GB"/>
    </w:rPr>
  </w:style>
  <w:style w:type="character" w:customStyle="1" w:styleId="NoSpacingChar">
    <w:name w:val="No Spacing Char"/>
    <w:basedOn w:val="DefaultParagraphFont"/>
  </w:style>
  <w:style w:type="character" w:styleId="PlaceholderText">
    <w:name w:val="Placeholder Text"/>
    <w:rPr>
      <w:color w:val="808080"/>
    </w:rPr>
  </w:style>
  <w:style w:type="character" w:styleId="Hyperlink">
    <w:name w:val="Hyperlink"/>
    <w:uiPriority w:val="99"/>
    <w:rPr>
      <w:strike w:val="0"/>
      <w:dstrike w:val="0"/>
      <w:color w:val="444444"/>
      <w:u w:val="single"/>
      <w:effect w:val="none"/>
    </w:rPr>
  </w:style>
  <w:style w:type="character" w:customStyle="1" w:styleId="CommentReference1">
    <w:name w:val="Comment Reference1"/>
    <w:rPr>
      <w:sz w:val="16"/>
      <w:szCs w:val="16"/>
    </w:rPr>
  </w:style>
  <w:style w:type="character" w:customStyle="1" w:styleId="CommentTextChar">
    <w:name w:val="Comment Text Char"/>
    <w:link w:val="CommentText"/>
    <w:uiPriority w:val="99"/>
    <w:rPr>
      <w:rFonts w:ascii="Arial" w:eastAsia="Times New Roman" w:hAnsi="Arial" w:cs="Times New Roman"/>
      <w:sz w:val="20"/>
      <w:szCs w:val="20"/>
      <w:lang w:eastAsia="en-GB"/>
    </w:rPr>
  </w:style>
  <w:style w:type="character" w:customStyle="1" w:styleId="CommentSubjectChar">
    <w:name w:val="Comment Subject Char"/>
    <w:rPr>
      <w:rFonts w:ascii="Arial" w:eastAsia="Times New Roman" w:hAnsi="Arial" w:cs="Times New Roman"/>
      <w:b/>
      <w:bCs/>
      <w:sz w:val="20"/>
      <w:szCs w:val="20"/>
      <w:lang w:eastAsia="en-GB"/>
    </w:rPr>
  </w:style>
  <w:style w:type="character" w:customStyle="1" w:styleId="ListLabel1">
    <w:name w:val="ListLabel 1"/>
    <w:rPr>
      <w:b w:val="0"/>
    </w:rPr>
  </w:style>
  <w:style w:type="character" w:customStyle="1" w:styleId="ListLabel2">
    <w:name w:val="ListLabel 2"/>
    <w:rPr>
      <w:i w:val="0"/>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Default">
    <w:name w:val="Default"/>
    <w:pPr>
      <w:suppressAutoHyphens/>
      <w:spacing w:line="360" w:lineRule="auto"/>
      <w:jc w:val="both"/>
    </w:pPr>
    <w:rPr>
      <w:rFonts w:ascii="Arial" w:eastAsia="Calibri" w:hAnsi="Arial" w:cs="Arial"/>
      <w:color w:val="000000"/>
      <w:kern w:val="1"/>
      <w:sz w:val="24"/>
      <w:szCs w:val="24"/>
      <w:lang w:eastAsia="en-US"/>
    </w:rPr>
  </w:style>
  <w:style w:type="paragraph" w:styleId="ListParagraph">
    <w:name w:val="List Paragraph"/>
    <w:basedOn w:val="Normal"/>
    <w:uiPriority w:val="34"/>
    <w:qFormat/>
    <w:pPr>
      <w:spacing w:before="200" w:after="200"/>
      <w:ind w:left="720"/>
      <w:contextualSpacing/>
    </w:pPr>
  </w:style>
  <w:style w:type="paragraph" w:styleId="BalloonText">
    <w:name w:val="Balloon Text"/>
    <w:basedOn w:val="Normal"/>
    <w:rPr>
      <w:rFonts w:ascii="Tahoma" w:hAnsi="Tahoma" w:cs="Tahoma"/>
      <w:sz w:val="16"/>
      <w:szCs w:val="16"/>
    </w:rPr>
  </w:style>
  <w:style w:type="paragraph" w:styleId="NoSpacing">
    <w:name w:val="No Spacing"/>
    <w:qFormat/>
    <w:pPr>
      <w:suppressAutoHyphens/>
      <w:spacing w:line="360" w:lineRule="auto"/>
      <w:jc w:val="both"/>
    </w:pPr>
    <w:rPr>
      <w:rFonts w:ascii="Calibri" w:eastAsia="Calibri" w:hAnsi="Calibri" w:cs="font301"/>
      <w:kern w:val="1"/>
      <w:sz w:val="22"/>
      <w:szCs w:val="22"/>
      <w:lang w:eastAsia="en-US"/>
    </w:rPr>
  </w:style>
  <w:style w:type="paragraph" w:styleId="Header">
    <w:name w:val="header"/>
    <w:basedOn w:val="Normal"/>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NormalWeb">
    <w:name w:val="Normal (Web)"/>
    <w:basedOn w:val="Normal"/>
    <w:pPr>
      <w:spacing w:before="280" w:after="375" w:line="360" w:lineRule="atLeast"/>
      <w:jc w:val="left"/>
    </w:pPr>
    <w:rPr>
      <w:rFonts w:ascii="Times New Roman" w:hAnsi="Times New Roman"/>
      <w:sz w:val="21"/>
      <w:szCs w:val="21"/>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customStyle="1" w:styleId="FrameContents">
    <w:name w:val="Frame Contents"/>
    <w:basedOn w:val="Normal"/>
  </w:style>
  <w:style w:type="character" w:styleId="CommentReference">
    <w:name w:val="annotation reference"/>
    <w:uiPriority w:val="99"/>
    <w:semiHidden/>
    <w:unhideWhenUsed/>
    <w:rsid w:val="00172C11"/>
    <w:rPr>
      <w:sz w:val="16"/>
      <w:szCs w:val="16"/>
    </w:rPr>
  </w:style>
  <w:style w:type="paragraph" w:styleId="CommentText">
    <w:name w:val="annotation text"/>
    <w:basedOn w:val="Normal"/>
    <w:link w:val="CommentTextChar"/>
    <w:uiPriority w:val="99"/>
    <w:semiHidden/>
    <w:unhideWhenUsed/>
    <w:rsid w:val="00172C11"/>
    <w:pPr>
      <w:spacing w:line="240" w:lineRule="auto"/>
      <w:jc w:val="left"/>
    </w:pPr>
    <w:rPr>
      <w:kern w:val="0"/>
      <w:sz w:val="20"/>
      <w:szCs w:val="20"/>
    </w:rPr>
  </w:style>
  <w:style w:type="character" w:customStyle="1" w:styleId="CommentTextChar1">
    <w:name w:val="Comment Text Char1"/>
    <w:uiPriority w:val="99"/>
    <w:semiHidden/>
    <w:rsid w:val="00172C11"/>
    <w:rPr>
      <w:rFonts w:ascii="Arial" w:hAnsi="Arial"/>
      <w:kern w:val="1"/>
    </w:rPr>
  </w:style>
  <w:style w:type="table" w:styleId="TableGrid">
    <w:name w:val="Table Grid"/>
    <w:basedOn w:val="TableNormal"/>
    <w:uiPriority w:val="59"/>
    <w:rsid w:val="00841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F0BD3"/>
    <w:rPr>
      <w:rFonts w:ascii="Arial" w:hAnsi="Arial" w:cs="Arial"/>
      <w:b/>
      <w:kern w:val="1"/>
      <w:sz w:val="22"/>
      <w:szCs w:val="22"/>
    </w:rPr>
  </w:style>
  <w:style w:type="paragraph" w:styleId="TOC1">
    <w:name w:val="toc 1"/>
    <w:basedOn w:val="Normal"/>
    <w:next w:val="Normal"/>
    <w:autoRedefine/>
    <w:uiPriority w:val="39"/>
    <w:unhideWhenUsed/>
    <w:rsid w:val="00035545"/>
    <w:pPr>
      <w:tabs>
        <w:tab w:val="right" w:leader="dot" w:pos="9628"/>
      </w:tabs>
      <w:spacing w:line="600" w:lineRule="auto"/>
    </w:pPr>
  </w:style>
  <w:style w:type="paragraph" w:styleId="TOCHeading">
    <w:name w:val="TOC Heading"/>
    <w:basedOn w:val="Heading1"/>
    <w:next w:val="Normal"/>
    <w:uiPriority w:val="39"/>
    <w:unhideWhenUsed/>
    <w:qFormat/>
    <w:rsid w:val="00670A84"/>
    <w:pPr>
      <w:keepLines/>
      <w:spacing w:before="480"/>
      <w:jc w:val="left"/>
      <w:outlineLvl w:val="9"/>
    </w:pPr>
    <w:rPr>
      <w:color w:val="365F91"/>
      <w:kern w:val="0"/>
      <w:sz w:val="28"/>
      <w:szCs w:val="28"/>
      <w:lang w:val="en-US" w:eastAsia="ja-JP"/>
    </w:rPr>
  </w:style>
  <w:style w:type="character" w:styleId="FollowedHyperlink">
    <w:name w:val="FollowedHyperlink"/>
    <w:uiPriority w:val="99"/>
    <w:semiHidden/>
    <w:unhideWhenUsed/>
    <w:rsid w:val="008268CA"/>
    <w:rPr>
      <w:color w:val="800080"/>
      <w:u w:val="single"/>
    </w:rPr>
  </w:style>
  <w:style w:type="paragraph" w:styleId="TOC2">
    <w:name w:val="toc 2"/>
    <w:basedOn w:val="Normal"/>
    <w:next w:val="Normal"/>
    <w:autoRedefine/>
    <w:uiPriority w:val="39"/>
    <w:unhideWhenUsed/>
    <w:rsid w:val="00ED52A3"/>
    <w:pPr>
      <w:spacing w:after="100"/>
      <w:ind w:left="220"/>
    </w:pPr>
  </w:style>
  <w:style w:type="character" w:customStyle="1" w:styleId="Heading2Char">
    <w:name w:val="Heading 2 Char"/>
    <w:basedOn w:val="DefaultParagraphFont"/>
    <w:link w:val="Heading2"/>
    <w:uiPriority w:val="9"/>
    <w:rsid w:val="002017B4"/>
    <w:rPr>
      <w:rFonts w:asciiTheme="majorHAnsi" w:eastAsiaTheme="majorEastAsia" w:hAnsiTheme="majorHAnsi" w:cstheme="majorBidi"/>
      <w:b/>
      <w:bCs/>
      <w:color w:val="4F81BD" w:themeColor="accent1"/>
      <w:kern w:val="1"/>
      <w:sz w:val="26"/>
      <w:szCs w:val="26"/>
    </w:rPr>
  </w:style>
  <w:style w:type="paragraph" w:styleId="CommentSubject">
    <w:name w:val="annotation subject"/>
    <w:basedOn w:val="CommentText"/>
    <w:next w:val="CommentText"/>
    <w:link w:val="CommentSubjectChar1"/>
    <w:uiPriority w:val="99"/>
    <w:semiHidden/>
    <w:unhideWhenUsed/>
    <w:rsid w:val="00FF6669"/>
    <w:pPr>
      <w:jc w:val="both"/>
    </w:pPr>
    <w:rPr>
      <w:b/>
      <w:bCs/>
      <w:kern w:val="1"/>
    </w:rPr>
  </w:style>
  <w:style w:type="character" w:customStyle="1" w:styleId="CommentSubjectChar1">
    <w:name w:val="Comment Subject Char1"/>
    <w:basedOn w:val="CommentTextChar"/>
    <w:link w:val="CommentSubject"/>
    <w:uiPriority w:val="99"/>
    <w:semiHidden/>
    <w:rsid w:val="00FF6669"/>
    <w:rPr>
      <w:rFonts w:ascii="Arial" w:eastAsia="Times New Roman" w:hAnsi="Arial" w:cs="Times New Roman"/>
      <w:b/>
      <w:bCs/>
      <w:kern w:val="1"/>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363900">
      <w:bodyDiv w:val="1"/>
      <w:marLeft w:val="0"/>
      <w:marRight w:val="0"/>
      <w:marTop w:val="0"/>
      <w:marBottom w:val="0"/>
      <w:divBdr>
        <w:top w:val="none" w:sz="0" w:space="0" w:color="auto"/>
        <w:left w:val="none" w:sz="0" w:space="0" w:color="auto"/>
        <w:bottom w:val="none" w:sz="0" w:space="0" w:color="auto"/>
        <w:right w:val="none" w:sz="0" w:space="0" w:color="auto"/>
      </w:divBdr>
    </w:div>
    <w:div w:id="56618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ersonalhealthbudgets.england.nhs.uk/Topics/Toolkit/GetGoodResul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eastlincolnshireccg.nhs.uk/countering-fraud-in-the-nh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ortal.yhcs.org.uk/documents/5665646/17351999/EIA+Personal+Healthcare+Budgets+Policy/3ad66669-1d39-4ddb-85a3-a9c18010a02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B1588-DA7D-4A94-8471-07E4B092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7663</Words>
  <Characters>43680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51241</CharactersWithSpaces>
  <SharedDoc>false</SharedDoc>
  <HLinks>
    <vt:vector size="84" baseType="variant">
      <vt:variant>
        <vt:i4>458767</vt:i4>
      </vt:variant>
      <vt:variant>
        <vt:i4>81</vt:i4>
      </vt:variant>
      <vt:variant>
        <vt:i4>0</vt:i4>
      </vt:variant>
      <vt:variant>
        <vt:i4>5</vt:i4>
      </vt:variant>
      <vt:variant>
        <vt:lpwstr>http://www.personalhealthbudgets.england.nhs.uk/Topics/Toolkit/GetGoodResults</vt:lpwstr>
      </vt:variant>
      <vt:variant>
        <vt:lpwstr/>
      </vt:variant>
      <vt:variant>
        <vt:i4>1572912</vt:i4>
      </vt:variant>
      <vt:variant>
        <vt:i4>74</vt:i4>
      </vt:variant>
      <vt:variant>
        <vt:i4>0</vt:i4>
      </vt:variant>
      <vt:variant>
        <vt:i4>5</vt:i4>
      </vt:variant>
      <vt:variant>
        <vt:lpwstr/>
      </vt:variant>
      <vt:variant>
        <vt:lpwstr>_Toc511813550</vt:lpwstr>
      </vt:variant>
      <vt:variant>
        <vt:i4>1638448</vt:i4>
      </vt:variant>
      <vt:variant>
        <vt:i4>68</vt:i4>
      </vt:variant>
      <vt:variant>
        <vt:i4>0</vt:i4>
      </vt:variant>
      <vt:variant>
        <vt:i4>5</vt:i4>
      </vt:variant>
      <vt:variant>
        <vt:lpwstr/>
      </vt:variant>
      <vt:variant>
        <vt:lpwstr>_Toc511813549</vt:lpwstr>
      </vt:variant>
      <vt:variant>
        <vt:i4>1638448</vt:i4>
      </vt:variant>
      <vt:variant>
        <vt:i4>62</vt:i4>
      </vt:variant>
      <vt:variant>
        <vt:i4>0</vt:i4>
      </vt:variant>
      <vt:variant>
        <vt:i4>5</vt:i4>
      </vt:variant>
      <vt:variant>
        <vt:lpwstr/>
      </vt:variant>
      <vt:variant>
        <vt:lpwstr>_Toc511813548</vt:lpwstr>
      </vt:variant>
      <vt:variant>
        <vt:i4>1638448</vt:i4>
      </vt:variant>
      <vt:variant>
        <vt:i4>56</vt:i4>
      </vt:variant>
      <vt:variant>
        <vt:i4>0</vt:i4>
      </vt:variant>
      <vt:variant>
        <vt:i4>5</vt:i4>
      </vt:variant>
      <vt:variant>
        <vt:lpwstr/>
      </vt:variant>
      <vt:variant>
        <vt:lpwstr>_Toc511813547</vt:lpwstr>
      </vt:variant>
      <vt:variant>
        <vt:i4>1638448</vt:i4>
      </vt:variant>
      <vt:variant>
        <vt:i4>50</vt:i4>
      </vt:variant>
      <vt:variant>
        <vt:i4>0</vt:i4>
      </vt:variant>
      <vt:variant>
        <vt:i4>5</vt:i4>
      </vt:variant>
      <vt:variant>
        <vt:lpwstr/>
      </vt:variant>
      <vt:variant>
        <vt:lpwstr>_Toc511813546</vt:lpwstr>
      </vt:variant>
      <vt:variant>
        <vt:i4>1638448</vt:i4>
      </vt:variant>
      <vt:variant>
        <vt:i4>44</vt:i4>
      </vt:variant>
      <vt:variant>
        <vt:i4>0</vt:i4>
      </vt:variant>
      <vt:variant>
        <vt:i4>5</vt:i4>
      </vt:variant>
      <vt:variant>
        <vt:lpwstr/>
      </vt:variant>
      <vt:variant>
        <vt:lpwstr>_Toc511813545</vt:lpwstr>
      </vt:variant>
      <vt:variant>
        <vt:i4>1638448</vt:i4>
      </vt:variant>
      <vt:variant>
        <vt:i4>38</vt:i4>
      </vt:variant>
      <vt:variant>
        <vt:i4>0</vt:i4>
      </vt:variant>
      <vt:variant>
        <vt:i4>5</vt:i4>
      </vt:variant>
      <vt:variant>
        <vt:lpwstr/>
      </vt:variant>
      <vt:variant>
        <vt:lpwstr>_Toc511813544</vt:lpwstr>
      </vt:variant>
      <vt:variant>
        <vt:i4>1638448</vt:i4>
      </vt:variant>
      <vt:variant>
        <vt:i4>32</vt:i4>
      </vt:variant>
      <vt:variant>
        <vt:i4>0</vt:i4>
      </vt:variant>
      <vt:variant>
        <vt:i4>5</vt:i4>
      </vt:variant>
      <vt:variant>
        <vt:lpwstr/>
      </vt:variant>
      <vt:variant>
        <vt:lpwstr>_Toc511813543</vt:lpwstr>
      </vt:variant>
      <vt:variant>
        <vt:i4>1638448</vt:i4>
      </vt:variant>
      <vt:variant>
        <vt:i4>26</vt:i4>
      </vt:variant>
      <vt:variant>
        <vt:i4>0</vt:i4>
      </vt:variant>
      <vt:variant>
        <vt:i4>5</vt:i4>
      </vt:variant>
      <vt:variant>
        <vt:lpwstr/>
      </vt:variant>
      <vt:variant>
        <vt:lpwstr>_Toc511813542</vt:lpwstr>
      </vt:variant>
      <vt:variant>
        <vt:i4>1638448</vt:i4>
      </vt:variant>
      <vt:variant>
        <vt:i4>20</vt:i4>
      </vt:variant>
      <vt:variant>
        <vt:i4>0</vt:i4>
      </vt:variant>
      <vt:variant>
        <vt:i4>5</vt:i4>
      </vt:variant>
      <vt:variant>
        <vt:lpwstr/>
      </vt:variant>
      <vt:variant>
        <vt:lpwstr>_Toc511813541</vt:lpwstr>
      </vt:variant>
      <vt:variant>
        <vt:i4>1638448</vt:i4>
      </vt:variant>
      <vt:variant>
        <vt:i4>14</vt:i4>
      </vt:variant>
      <vt:variant>
        <vt:i4>0</vt:i4>
      </vt:variant>
      <vt:variant>
        <vt:i4>5</vt:i4>
      </vt:variant>
      <vt:variant>
        <vt:lpwstr/>
      </vt:variant>
      <vt:variant>
        <vt:lpwstr>_Toc511813540</vt:lpwstr>
      </vt:variant>
      <vt:variant>
        <vt:i4>1966128</vt:i4>
      </vt:variant>
      <vt:variant>
        <vt:i4>8</vt:i4>
      </vt:variant>
      <vt:variant>
        <vt:i4>0</vt:i4>
      </vt:variant>
      <vt:variant>
        <vt:i4>5</vt:i4>
      </vt:variant>
      <vt:variant>
        <vt:lpwstr/>
      </vt:variant>
      <vt:variant>
        <vt:lpwstr>_Toc511813539</vt:lpwstr>
      </vt:variant>
      <vt:variant>
        <vt:i4>1966128</vt:i4>
      </vt:variant>
      <vt:variant>
        <vt:i4>2</vt:i4>
      </vt:variant>
      <vt:variant>
        <vt:i4>0</vt:i4>
      </vt:variant>
      <vt:variant>
        <vt:i4>5</vt:i4>
      </vt:variant>
      <vt:variant>
        <vt:lpwstr/>
      </vt:variant>
      <vt:variant>
        <vt:lpwstr>_Toc511813538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Chloe Warburton</dc:creator>
  <cp:lastModifiedBy>Jeanette Harris (CCG)</cp:lastModifiedBy>
  <cp:revision>13</cp:revision>
  <cp:lastPrinted>2018-04-18T11:20:00Z</cp:lastPrinted>
  <dcterms:created xsi:type="dcterms:W3CDTF">2019-12-10T12:40:00Z</dcterms:created>
  <dcterms:modified xsi:type="dcterms:W3CDTF">2022-01-11T11:05:00Z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NLNHS &amp; NELCTP</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