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6C50" w14:textId="77777777" w:rsidR="0029744C" w:rsidRDefault="00C926FA" w:rsidP="005156DE">
      <w:pPr>
        <w:spacing w:after="0" w:line="240" w:lineRule="auto"/>
        <w:jc w:val="right"/>
        <w:rPr>
          <w:rFonts w:ascii="Arial" w:hAnsi="Arial" w:cs="Arial"/>
          <w:b/>
          <w:sz w:val="36"/>
          <w:szCs w:val="36"/>
        </w:rPr>
      </w:pPr>
      <w:r>
        <w:rPr>
          <w:rFonts w:ascii="Times New Roman" w:hAnsi="Times New Roman" w:cs="Times New Roman"/>
          <w:noProof/>
          <w:sz w:val="24"/>
          <w:szCs w:val="24"/>
          <w:lang w:eastAsia="en-GB"/>
        </w:rPr>
        <w:drawing>
          <wp:inline distT="0" distB="0" distL="0" distR="0" wp14:anchorId="32D7CA81" wp14:editId="2BEE32F8">
            <wp:extent cx="1996440" cy="701675"/>
            <wp:effectExtent l="0" t="0" r="3810" b="3175"/>
            <wp:docPr id="1" name="Picture 1" descr="NEL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696" t="16959" r="6470" b="27486"/>
                    <a:stretch>
                      <a:fillRect/>
                    </a:stretch>
                  </pic:blipFill>
                  <pic:spPr bwMode="auto">
                    <a:xfrm>
                      <a:off x="0" y="0"/>
                      <a:ext cx="1996440" cy="701675"/>
                    </a:xfrm>
                    <a:prstGeom prst="rect">
                      <a:avLst/>
                    </a:prstGeom>
                    <a:noFill/>
                  </pic:spPr>
                </pic:pic>
              </a:graphicData>
            </a:graphic>
          </wp:inline>
        </w:drawing>
      </w:r>
    </w:p>
    <w:p w14:paraId="61F1E6D8" w14:textId="77777777" w:rsidR="00EB5F7A" w:rsidRPr="00FB01AF" w:rsidRDefault="00EB5F7A" w:rsidP="00FB01AF">
      <w:pPr>
        <w:spacing w:after="0" w:line="240" w:lineRule="auto"/>
        <w:jc w:val="center"/>
        <w:rPr>
          <w:rFonts w:ascii="Arial" w:hAnsi="Arial" w:cs="Arial"/>
          <w:b/>
          <w:sz w:val="36"/>
          <w:szCs w:val="36"/>
        </w:rPr>
      </w:pPr>
    </w:p>
    <w:p w14:paraId="1831C5A3" w14:textId="77777777" w:rsidR="00FB01AF" w:rsidRDefault="00FB01AF" w:rsidP="00FB01AF">
      <w:pPr>
        <w:spacing w:after="0" w:line="240" w:lineRule="auto"/>
        <w:jc w:val="center"/>
        <w:rPr>
          <w:rFonts w:ascii="Arial" w:hAnsi="Arial" w:cs="Arial"/>
          <w:b/>
          <w:sz w:val="36"/>
          <w:szCs w:val="36"/>
        </w:rPr>
      </w:pPr>
    </w:p>
    <w:p w14:paraId="4877B789" w14:textId="77777777" w:rsidR="00FF0B96" w:rsidRDefault="00FF0B96" w:rsidP="00FB01AF">
      <w:pPr>
        <w:spacing w:after="0" w:line="240" w:lineRule="auto"/>
        <w:jc w:val="center"/>
        <w:rPr>
          <w:rFonts w:ascii="Arial" w:hAnsi="Arial" w:cs="Arial"/>
          <w:b/>
          <w:sz w:val="36"/>
          <w:szCs w:val="36"/>
        </w:rPr>
      </w:pPr>
    </w:p>
    <w:p w14:paraId="33C8DAE3" w14:textId="77777777" w:rsidR="00FF0B96" w:rsidRDefault="00FF0B96" w:rsidP="00FB01AF">
      <w:pPr>
        <w:spacing w:after="0" w:line="240" w:lineRule="auto"/>
        <w:jc w:val="center"/>
        <w:rPr>
          <w:rFonts w:ascii="Arial" w:hAnsi="Arial" w:cs="Arial"/>
          <w:b/>
          <w:sz w:val="36"/>
          <w:szCs w:val="36"/>
        </w:rPr>
      </w:pPr>
    </w:p>
    <w:p w14:paraId="3B820152" w14:textId="77777777" w:rsidR="00FF0B96" w:rsidRDefault="00FF0B96" w:rsidP="00FF0B96">
      <w:pPr>
        <w:spacing w:after="0" w:line="240" w:lineRule="auto"/>
        <w:jc w:val="center"/>
        <w:rPr>
          <w:rFonts w:ascii="Arial" w:hAnsi="Arial" w:cs="Arial"/>
          <w:b/>
          <w:sz w:val="36"/>
          <w:szCs w:val="36"/>
        </w:rPr>
      </w:pPr>
    </w:p>
    <w:p w14:paraId="05796BE0" w14:textId="77777777" w:rsidR="00FF0B96" w:rsidRDefault="00FF0B96" w:rsidP="00FF0B96">
      <w:pPr>
        <w:spacing w:after="0" w:line="240" w:lineRule="auto"/>
        <w:jc w:val="center"/>
        <w:rPr>
          <w:rFonts w:ascii="Arial" w:hAnsi="Arial" w:cs="Arial"/>
          <w:b/>
          <w:sz w:val="36"/>
          <w:szCs w:val="36"/>
        </w:rPr>
      </w:pPr>
    </w:p>
    <w:p w14:paraId="1E2C35FC" w14:textId="77777777" w:rsidR="00FF0B96" w:rsidRDefault="00FF0B96" w:rsidP="00FF0B96">
      <w:pPr>
        <w:spacing w:after="0" w:line="240" w:lineRule="auto"/>
        <w:jc w:val="center"/>
        <w:rPr>
          <w:rFonts w:ascii="Arial" w:hAnsi="Arial" w:cs="Arial"/>
          <w:b/>
          <w:sz w:val="36"/>
          <w:szCs w:val="36"/>
        </w:rPr>
      </w:pPr>
    </w:p>
    <w:p w14:paraId="211FD493" w14:textId="77777777" w:rsidR="0015240E" w:rsidRDefault="0015240E" w:rsidP="00FF0B96">
      <w:pPr>
        <w:spacing w:after="0" w:line="240" w:lineRule="auto"/>
        <w:jc w:val="center"/>
        <w:rPr>
          <w:rFonts w:ascii="Arial" w:hAnsi="Arial" w:cs="Arial"/>
          <w:b/>
          <w:sz w:val="36"/>
          <w:szCs w:val="36"/>
        </w:rPr>
      </w:pPr>
    </w:p>
    <w:p w14:paraId="5D2ABE94" w14:textId="77777777" w:rsidR="00A079BC" w:rsidRDefault="00A079BC" w:rsidP="00FF0B96">
      <w:pPr>
        <w:spacing w:after="0" w:line="240" w:lineRule="auto"/>
        <w:jc w:val="center"/>
        <w:rPr>
          <w:rFonts w:ascii="Arial" w:hAnsi="Arial" w:cs="Arial"/>
          <w:b/>
          <w:sz w:val="36"/>
          <w:szCs w:val="36"/>
        </w:rPr>
      </w:pPr>
      <w:r>
        <w:rPr>
          <w:rFonts w:ascii="Arial" w:hAnsi="Arial" w:cs="Arial"/>
          <w:b/>
          <w:sz w:val="36"/>
          <w:szCs w:val="36"/>
        </w:rPr>
        <w:t>North East Lincolnshire CCG</w:t>
      </w:r>
    </w:p>
    <w:p w14:paraId="4BDE0FED" w14:textId="77777777" w:rsidR="00FF0B96" w:rsidRDefault="00FF0B96" w:rsidP="00FF0B96">
      <w:pPr>
        <w:spacing w:after="0" w:line="240" w:lineRule="auto"/>
        <w:jc w:val="center"/>
        <w:rPr>
          <w:rFonts w:ascii="Arial" w:hAnsi="Arial" w:cs="Arial"/>
          <w:b/>
          <w:sz w:val="36"/>
          <w:szCs w:val="36"/>
        </w:rPr>
      </w:pPr>
      <w:r w:rsidRPr="00FB01AF">
        <w:rPr>
          <w:rFonts w:ascii="Arial" w:hAnsi="Arial" w:cs="Arial"/>
          <w:b/>
          <w:sz w:val="36"/>
          <w:szCs w:val="36"/>
        </w:rPr>
        <w:t>Individual Funding Requests Policy</w:t>
      </w:r>
    </w:p>
    <w:p w14:paraId="2115E0F9" w14:textId="77777777" w:rsidR="0049079F" w:rsidRDefault="0049079F" w:rsidP="00FF0B96">
      <w:pPr>
        <w:spacing w:after="0" w:line="240" w:lineRule="auto"/>
        <w:jc w:val="center"/>
        <w:rPr>
          <w:rFonts w:ascii="Arial" w:hAnsi="Arial" w:cs="Arial"/>
          <w:b/>
          <w:sz w:val="36"/>
          <w:szCs w:val="36"/>
        </w:rPr>
      </w:pPr>
      <w:r>
        <w:rPr>
          <w:rFonts w:ascii="Arial" w:hAnsi="Arial" w:cs="Arial"/>
          <w:b/>
          <w:sz w:val="36"/>
          <w:szCs w:val="36"/>
        </w:rPr>
        <w:t>&amp;</w:t>
      </w:r>
    </w:p>
    <w:p w14:paraId="5F647D2F" w14:textId="77777777" w:rsidR="002140B0" w:rsidRDefault="0049079F" w:rsidP="002140B0">
      <w:pPr>
        <w:spacing w:after="0" w:line="240" w:lineRule="auto"/>
        <w:jc w:val="center"/>
        <w:rPr>
          <w:rFonts w:ascii="Arial" w:hAnsi="Arial" w:cs="Arial"/>
          <w:b/>
          <w:sz w:val="36"/>
          <w:szCs w:val="36"/>
        </w:rPr>
      </w:pPr>
      <w:r>
        <w:rPr>
          <w:rFonts w:ascii="Arial" w:hAnsi="Arial" w:cs="Arial"/>
          <w:b/>
          <w:sz w:val="36"/>
          <w:szCs w:val="36"/>
        </w:rPr>
        <w:t>Procedures of Low Clinical value</w:t>
      </w:r>
    </w:p>
    <w:p w14:paraId="2D234DEA" w14:textId="77777777" w:rsidR="002140B0" w:rsidRPr="002140B0" w:rsidRDefault="002140B0" w:rsidP="002140B0">
      <w:pPr>
        <w:spacing w:after="0" w:line="240" w:lineRule="auto"/>
        <w:jc w:val="center"/>
        <w:rPr>
          <w:rFonts w:ascii="Arial" w:hAnsi="Arial" w:cs="Arial"/>
          <w:b/>
          <w:sz w:val="36"/>
          <w:szCs w:val="36"/>
        </w:rPr>
      </w:pPr>
      <w:r w:rsidRPr="002140B0">
        <w:rPr>
          <w:rFonts w:ascii="Arial" w:hAnsi="Arial" w:cs="Arial"/>
          <w:b/>
          <w:color w:val="000000"/>
          <w:sz w:val="36"/>
          <w:szCs w:val="36"/>
        </w:rPr>
        <w:t xml:space="preserve">Including Evidence based interventions </w:t>
      </w:r>
      <w:proofErr w:type="gramStart"/>
      <w:r w:rsidRPr="002140B0">
        <w:rPr>
          <w:rFonts w:ascii="Arial" w:hAnsi="Arial" w:cs="Arial"/>
          <w:b/>
          <w:color w:val="000000"/>
          <w:sz w:val="36"/>
          <w:szCs w:val="36"/>
        </w:rPr>
        <w:t>update</w:t>
      </w:r>
      <w:proofErr w:type="gramEnd"/>
    </w:p>
    <w:p w14:paraId="3E70DBAE" w14:textId="77777777" w:rsidR="0029744C" w:rsidRDefault="0029744C" w:rsidP="00B16CEA">
      <w:pPr>
        <w:spacing w:after="0" w:line="240" w:lineRule="auto"/>
        <w:rPr>
          <w:rFonts w:ascii="Arial" w:hAnsi="Arial" w:cs="Arial"/>
          <w:b/>
          <w:sz w:val="24"/>
          <w:szCs w:val="24"/>
        </w:rPr>
      </w:pPr>
    </w:p>
    <w:p w14:paraId="0AA87B9B" w14:textId="77777777" w:rsidR="0029744C" w:rsidRDefault="0029744C" w:rsidP="00B16CEA">
      <w:pPr>
        <w:spacing w:after="0" w:line="240" w:lineRule="auto"/>
        <w:rPr>
          <w:rFonts w:ascii="Arial" w:hAnsi="Arial" w:cs="Arial"/>
          <w:b/>
          <w:sz w:val="24"/>
          <w:szCs w:val="24"/>
        </w:rPr>
      </w:pPr>
    </w:p>
    <w:p w14:paraId="7C9A912B" w14:textId="77777777" w:rsidR="0029744C" w:rsidRDefault="0029744C" w:rsidP="00B16CEA">
      <w:pPr>
        <w:spacing w:after="0" w:line="240" w:lineRule="auto"/>
        <w:rPr>
          <w:rFonts w:ascii="Arial" w:hAnsi="Arial" w:cs="Arial"/>
          <w:b/>
          <w:sz w:val="24"/>
          <w:szCs w:val="24"/>
        </w:rPr>
      </w:pPr>
    </w:p>
    <w:p w14:paraId="50C010BC" w14:textId="77777777" w:rsidR="0029744C" w:rsidRDefault="0029744C" w:rsidP="00B16CEA">
      <w:pPr>
        <w:spacing w:after="0" w:line="240" w:lineRule="auto"/>
        <w:rPr>
          <w:rFonts w:ascii="Arial" w:hAnsi="Arial" w:cs="Arial"/>
          <w:b/>
          <w:sz w:val="24"/>
          <w:szCs w:val="24"/>
        </w:rPr>
      </w:pPr>
    </w:p>
    <w:p w14:paraId="734EEEB6" w14:textId="77777777" w:rsidR="0029744C" w:rsidRDefault="0029744C" w:rsidP="00B16CEA">
      <w:pPr>
        <w:spacing w:after="0" w:line="240" w:lineRule="auto"/>
        <w:rPr>
          <w:rFonts w:ascii="Arial" w:hAnsi="Arial" w:cs="Arial"/>
          <w:b/>
          <w:sz w:val="24"/>
          <w:szCs w:val="24"/>
        </w:rPr>
      </w:pPr>
    </w:p>
    <w:p w14:paraId="3628A3F8" w14:textId="77777777" w:rsidR="0029744C" w:rsidRDefault="0029744C" w:rsidP="00B16CEA">
      <w:pPr>
        <w:spacing w:after="0" w:line="240" w:lineRule="auto"/>
        <w:rPr>
          <w:rFonts w:ascii="Arial" w:hAnsi="Arial" w:cs="Arial"/>
          <w:b/>
          <w:sz w:val="24"/>
          <w:szCs w:val="24"/>
        </w:rPr>
      </w:pPr>
    </w:p>
    <w:p w14:paraId="502731A4" w14:textId="77777777" w:rsidR="0029744C" w:rsidRDefault="0029744C" w:rsidP="00B16CEA">
      <w:pPr>
        <w:spacing w:after="0" w:line="240" w:lineRule="auto"/>
        <w:rPr>
          <w:rFonts w:ascii="Arial" w:hAnsi="Arial" w:cs="Arial"/>
          <w:b/>
          <w:sz w:val="24"/>
          <w:szCs w:val="24"/>
        </w:rPr>
      </w:pPr>
    </w:p>
    <w:p w14:paraId="0AA84489" w14:textId="77777777" w:rsidR="0029744C" w:rsidRDefault="0029744C" w:rsidP="00806A1B">
      <w:pPr>
        <w:spacing w:after="0" w:line="240" w:lineRule="auto"/>
        <w:jc w:val="center"/>
        <w:rPr>
          <w:rFonts w:ascii="Arial" w:hAnsi="Arial" w:cs="Arial"/>
          <w:b/>
          <w:sz w:val="24"/>
          <w:szCs w:val="24"/>
        </w:rPr>
      </w:pPr>
    </w:p>
    <w:p w14:paraId="7459FB15" w14:textId="77777777" w:rsidR="0029744C" w:rsidRDefault="0029744C" w:rsidP="00B16CEA">
      <w:pPr>
        <w:spacing w:after="0" w:line="240" w:lineRule="auto"/>
        <w:rPr>
          <w:rFonts w:ascii="Arial" w:hAnsi="Arial" w:cs="Arial"/>
          <w:b/>
          <w:sz w:val="24"/>
          <w:szCs w:val="24"/>
        </w:rPr>
      </w:pPr>
    </w:p>
    <w:p w14:paraId="3B024120" w14:textId="77777777" w:rsidR="0029744C" w:rsidRDefault="0029744C" w:rsidP="00B16CEA">
      <w:pPr>
        <w:spacing w:after="0" w:line="240" w:lineRule="auto"/>
        <w:rPr>
          <w:rFonts w:ascii="Arial" w:hAnsi="Arial" w:cs="Arial"/>
          <w:b/>
          <w:sz w:val="24"/>
          <w:szCs w:val="24"/>
        </w:rPr>
      </w:pPr>
    </w:p>
    <w:p w14:paraId="60894310" w14:textId="77777777" w:rsidR="0029744C" w:rsidRDefault="0029744C" w:rsidP="00B16CEA">
      <w:pPr>
        <w:spacing w:after="0" w:line="240" w:lineRule="auto"/>
        <w:rPr>
          <w:rFonts w:ascii="Arial" w:hAnsi="Arial" w:cs="Arial"/>
          <w:b/>
          <w:sz w:val="24"/>
          <w:szCs w:val="24"/>
        </w:rPr>
      </w:pPr>
    </w:p>
    <w:p w14:paraId="0CDE9FDF" w14:textId="77777777" w:rsidR="0029744C" w:rsidRDefault="0029744C" w:rsidP="00B16CEA">
      <w:pPr>
        <w:spacing w:after="0" w:line="240" w:lineRule="auto"/>
        <w:rPr>
          <w:rFonts w:ascii="Arial" w:hAnsi="Arial" w:cs="Arial"/>
          <w:b/>
          <w:sz w:val="24"/>
          <w:szCs w:val="24"/>
        </w:rPr>
      </w:pPr>
    </w:p>
    <w:p w14:paraId="53A7E66F" w14:textId="77777777" w:rsidR="00E15C13" w:rsidRDefault="00E15C13" w:rsidP="00B16CEA">
      <w:pPr>
        <w:spacing w:after="0" w:line="240" w:lineRule="auto"/>
        <w:rPr>
          <w:rFonts w:ascii="Arial" w:hAnsi="Arial" w:cs="Arial"/>
          <w:b/>
          <w:sz w:val="24"/>
          <w:szCs w:val="24"/>
        </w:rPr>
      </w:pPr>
    </w:p>
    <w:p w14:paraId="6B40018B" w14:textId="77777777" w:rsidR="00E15C13" w:rsidRDefault="00E15C13" w:rsidP="00B16CEA">
      <w:pPr>
        <w:spacing w:after="0" w:line="240" w:lineRule="auto"/>
        <w:rPr>
          <w:rFonts w:ascii="Arial" w:hAnsi="Arial" w:cs="Arial"/>
          <w:b/>
          <w:sz w:val="24"/>
          <w:szCs w:val="24"/>
        </w:rPr>
      </w:pPr>
    </w:p>
    <w:p w14:paraId="11882DCE" w14:textId="77777777" w:rsidR="00E15C13" w:rsidRDefault="00E15C13" w:rsidP="00B16CEA">
      <w:pPr>
        <w:spacing w:after="0" w:line="240" w:lineRule="auto"/>
        <w:rPr>
          <w:rFonts w:ascii="Arial" w:hAnsi="Arial" w:cs="Arial"/>
          <w:b/>
          <w:sz w:val="24"/>
          <w:szCs w:val="24"/>
        </w:rPr>
      </w:pPr>
    </w:p>
    <w:p w14:paraId="3051F880" w14:textId="77777777" w:rsidR="00E15C13" w:rsidRDefault="00E15C13" w:rsidP="00B16CEA">
      <w:pPr>
        <w:spacing w:after="0" w:line="240" w:lineRule="auto"/>
        <w:rPr>
          <w:rFonts w:ascii="Arial" w:hAnsi="Arial" w:cs="Arial"/>
          <w:b/>
          <w:sz w:val="24"/>
          <w:szCs w:val="24"/>
        </w:rPr>
      </w:pPr>
    </w:p>
    <w:p w14:paraId="53B716F9" w14:textId="77777777" w:rsidR="00E15C13" w:rsidRDefault="00E15C13" w:rsidP="00B16CEA">
      <w:pPr>
        <w:spacing w:after="0" w:line="240" w:lineRule="auto"/>
        <w:rPr>
          <w:rFonts w:ascii="Arial" w:hAnsi="Arial" w:cs="Arial"/>
          <w:b/>
          <w:sz w:val="24"/>
          <w:szCs w:val="24"/>
        </w:rPr>
      </w:pPr>
    </w:p>
    <w:p w14:paraId="31F92B72" w14:textId="77777777" w:rsidR="00E15C13" w:rsidRDefault="00E15C13" w:rsidP="00B16CEA">
      <w:pPr>
        <w:spacing w:after="0" w:line="240" w:lineRule="auto"/>
        <w:rPr>
          <w:rFonts w:ascii="Arial" w:hAnsi="Arial" w:cs="Arial"/>
          <w:b/>
          <w:sz w:val="24"/>
          <w:szCs w:val="24"/>
        </w:rPr>
      </w:pPr>
    </w:p>
    <w:p w14:paraId="3F0477DA" w14:textId="77777777" w:rsidR="00E15C13" w:rsidRDefault="00E15C13" w:rsidP="00B16CEA">
      <w:pPr>
        <w:spacing w:after="0" w:line="240" w:lineRule="auto"/>
        <w:rPr>
          <w:rFonts w:ascii="Arial" w:hAnsi="Arial" w:cs="Arial"/>
          <w:b/>
          <w:sz w:val="24"/>
          <w:szCs w:val="24"/>
        </w:rPr>
      </w:pPr>
    </w:p>
    <w:p w14:paraId="2976ABF5" w14:textId="77777777" w:rsidR="00E15C13" w:rsidRDefault="00E15C13" w:rsidP="00B16CEA">
      <w:pPr>
        <w:spacing w:after="0" w:line="240" w:lineRule="auto"/>
        <w:rPr>
          <w:rFonts w:ascii="Arial" w:hAnsi="Arial" w:cs="Arial"/>
          <w:b/>
          <w:sz w:val="24"/>
          <w:szCs w:val="24"/>
        </w:rPr>
      </w:pPr>
    </w:p>
    <w:p w14:paraId="48AF8D9A" w14:textId="77777777" w:rsidR="00E15C13" w:rsidRDefault="00E15C13" w:rsidP="00B16CEA">
      <w:pPr>
        <w:spacing w:after="0" w:line="240" w:lineRule="auto"/>
        <w:rPr>
          <w:rFonts w:ascii="Arial" w:hAnsi="Arial" w:cs="Arial"/>
          <w:b/>
          <w:sz w:val="24"/>
          <w:szCs w:val="24"/>
        </w:rPr>
      </w:pPr>
    </w:p>
    <w:p w14:paraId="11D81E3F" w14:textId="77777777" w:rsidR="00E15C13" w:rsidRDefault="00E15C13" w:rsidP="00B16CEA">
      <w:pPr>
        <w:spacing w:after="0" w:line="240" w:lineRule="auto"/>
        <w:rPr>
          <w:rFonts w:ascii="Arial" w:hAnsi="Arial" w:cs="Arial"/>
          <w:b/>
          <w:sz w:val="24"/>
          <w:szCs w:val="24"/>
        </w:rPr>
      </w:pPr>
    </w:p>
    <w:p w14:paraId="2B0D0D70" w14:textId="77777777" w:rsidR="00E15C13" w:rsidRDefault="00E15C13" w:rsidP="00B16CEA">
      <w:pPr>
        <w:spacing w:after="0" w:line="240" w:lineRule="auto"/>
        <w:rPr>
          <w:rFonts w:ascii="Arial" w:hAnsi="Arial" w:cs="Arial"/>
          <w:b/>
          <w:sz w:val="24"/>
          <w:szCs w:val="24"/>
        </w:rPr>
      </w:pPr>
    </w:p>
    <w:p w14:paraId="2EC93E28" w14:textId="77777777" w:rsidR="00E15C13" w:rsidRDefault="00E15C13" w:rsidP="00B16CEA">
      <w:pPr>
        <w:spacing w:after="0" w:line="240" w:lineRule="auto"/>
        <w:rPr>
          <w:rFonts w:ascii="Arial" w:hAnsi="Arial" w:cs="Arial"/>
          <w:b/>
          <w:sz w:val="24"/>
          <w:szCs w:val="24"/>
        </w:rPr>
      </w:pPr>
    </w:p>
    <w:p w14:paraId="79624E68" w14:textId="77777777" w:rsidR="00E15C13" w:rsidRDefault="00E15C13" w:rsidP="00B16CEA">
      <w:pPr>
        <w:spacing w:after="0" w:line="240" w:lineRule="auto"/>
        <w:rPr>
          <w:rFonts w:ascii="Arial" w:hAnsi="Arial" w:cs="Arial"/>
          <w:b/>
          <w:sz w:val="24"/>
          <w:szCs w:val="24"/>
        </w:rPr>
      </w:pPr>
    </w:p>
    <w:p w14:paraId="4B66EFBB" w14:textId="77777777" w:rsidR="00E15C13" w:rsidRDefault="00E15C13" w:rsidP="00B16CEA">
      <w:pPr>
        <w:spacing w:after="0" w:line="240" w:lineRule="auto"/>
        <w:rPr>
          <w:rFonts w:ascii="Arial" w:hAnsi="Arial" w:cs="Arial"/>
          <w:b/>
          <w:sz w:val="24"/>
          <w:szCs w:val="24"/>
        </w:rPr>
      </w:pPr>
    </w:p>
    <w:p w14:paraId="4707ADD4" w14:textId="77777777" w:rsidR="00E15C13" w:rsidRDefault="00E15C13" w:rsidP="00B16CEA">
      <w:pPr>
        <w:spacing w:after="0" w:line="240" w:lineRule="auto"/>
        <w:rPr>
          <w:rFonts w:ascii="Arial" w:hAnsi="Arial" w:cs="Arial"/>
          <w:b/>
          <w:sz w:val="24"/>
          <w:szCs w:val="24"/>
        </w:rPr>
      </w:pPr>
    </w:p>
    <w:p w14:paraId="0CA47024" w14:textId="77777777" w:rsidR="00E15C13" w:rsidRDefault="00E15C13" w:rsidP="00B16CEA">
      <w:pPr>
        <w:spacing w:after="0" w:line="240" w:lineRule="auto"/>
        <w:rPr>
          <w:rFonts w:ascii="Arial" w:hAnsi="Arial" w:cs="Arial"/>
          <w:b/>
          <w:sz w:val="24"/>
          <w:szCs w:val="24"/>
        </w:rPr>
      </w:pPr>
    </w:p>
    <w:p w14:paraId="1B6ECB8E" w14:textId="77777777" w:rsidR="00E15C13" w:rsidRDefault="00E15C13" w:rsidP="00B16CEA">
      <w:pPr>
        <w:spacing w:after="0" w:line="240" w:lineRule="auto"/>
        <w:rPr>
          <w:rFonts w:ascii="Arial" w:hAnsi="Arial" w:cs="Arial"/>
          <w:b/>
          <w:sz w:val="24"/>
          <w:szCs w:val="24"/>
        </w:rPr>
      </w:pPr>
    </w:p>
    <w:p w14:paraId="0483BC17" w14:textId="77777777" w:rsidR="00E15C13" w:rsidRDefault="00E15C13" w:rsidP="00B16CEA">
      <w:pPr>
        <w:spacing w:after="0" w:line="240" w:lineRule="auto"/>
        <w:rPr>
          <w:rFonts w:ascii="Arial" w:hAnsi="Arial" w:cs="Arial"/>
          <w:b/>
          <w:sz w:val="24"/>
          <w:szCs w:val="24"/>
        </w:rPr>
      </w:pPr>
    </w:p>
    <w:p w14:paraId="4CD365FE" w14:textId="77777777" w:rsidR="002244D2" w:rsidRDefault="002244D2" w:rsidP="00B16CEA">
      <w:pPr>
        <w:spacing w:after="0" w:line="240" w:lineRule="auto"/>
        <w:rPr>
          <w:rFonts w:ascii="Arial" w:hAnsi="Arial" w:cs="Arial"/>
          <w:b/>
          <w:sz w:val="24"/>
          <w:szCs w:val="24"/>
        </w:rPr>
      </w:pPr>
    </w:p>
    <w:p w14:paraId="64FC9E7B" w14:textId="77777777" w:rsidR="002244D2" w:rsidRDefault="002244D2" w:rsidP="00B16CEA">
      <w:pPr>
        <w:spacing w:after="0" w:line="240" w:lineRule="auto"/>
        <w:rPr>
          <w:rFonts w:ascii="Arial" w:hAnsi="Arial" w:cs="Arial"/>
          <w:b/>
          <w:sz w:val="24"/>
          <w:szCs w:val="24"/>
        </w:rPr>
      </w:pPr>
    </w:p>
    <w:p w14:paraId="4A58D363" w14:textId="77777777" w:rsidR="002244D2" w:rsidRDefault="002244D2" w:rsidP="00B16CEA">
      <w:pPr>
        <w:spacing w:after="0" w:line="240" w:lineRule="auto"/>
        <w:rPr>
          <w:rFonts w:ascii="Arial" w:hAnsi="Arial" w:cs="Arial"/>
          <w:b/>
          <w:sz w:val="24"/>
          <w:szCs w:val="24"/>
        </w:rPr>
      </w:pPr>
    </w:p>
    <w:p w14:paraId="4CB25CB9" w14:textId="77777777" w:rsidR="002244D2" w:rsidRDefault="002244D2" w:rsidP="00B16CEA">
      <w:pPr>
        <w:spacing w:after="0" w:line="240" w:lineRule="auto"/>
        <w:rPr>
          <w:rFonts w:ascii="Arial" w:hAnsi="Arial" w:cs="Arial"/>
          <w:b/>
          <w:sz w:val="24"/>
          <w:szCs w:val="24"/>
        </w:rPr>
      </w:pPr>
    </w:p>
    <w:p w14:paraId="719C044A" w14:textId="77777777" w:rsidR="002244D2" w:rsidRDefault="002244D2" w:rsidP="00B16CEA">
      <w:pPr>
        <w:spacing w:after="0" w:line="240" w:lineRule="auto"/>
        <w:rPr>
          <w:rFonts w:ascii="Arial" w:hAnsi="Arial" w:cs="Arial"/>
          <w:b/>
          <w:sz w:val="24"/>
          <w:szCs w:val="24"/>
        </w:rPr>
      </w:pPr>
    </w:p>
    <w:p w14:paraId="095D77FB" w14:textId="77777777" w:rsidR="0029744C" w:rsidRDefault="0029744C" w:rsidP="00B16CEA">
      <w:pPr>
        <w:spacing w:after="0" w:line="240" w:lineRule="auto"/>
        <w:rPr>
          <w:rFonts w:ascii="Arial" w:hAnsi="Arial" w:cs="Arial"/>
          <w:b/>
          <w:sz w:val="24"/>
          <w:szCs w:val="24"/>
        </w:rPr>
      </w:pPr>
    </w:p>
    <w:p w14:paraId="61D09DA4" w14:textId="77777777" w:rsidR="0029744C" w:rsidRDefault="0029744C" w:rsidP="00B16CEA">
      <w:pPr>
        <w:spacing w:after="0" w:line="240" w:lineRule="auto"/>
        <w:rPr>
          <w:rFonts w:ascii="Arial" w:hAnsi="Arial" w:cs="Arial"/>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6095"/>
      </w:tblGrid>
      <w:tr w:rsidR="005F1223" w:rsidRPr="005F1223" w14:paraId="48EB20D2" w14:textId="77777777" w:rsidTr="002244D2">
        <w:tc>
          <w:tcPr>
            <w:tcW w:w="4106" w:type="dxa"/>
            <w:shd w:val="clear" w:color="auto" w:fill="F2F2F2" w:themeFill="background1" w:themeFillShade="F2"/>
          </w:tcPr>
          <w:p w14:paraId="1B3C8508"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Document Title:</w:t>
            </w:r>
          </w:p>
        </w:tc>
        <w:tc>
          <w:tcPr>
            <w:tcW w:w="6095" w:type="dxa"/>
          </w:tcPr>
          <w:p w14:paraId="7BC83F52" w14:textId="77777777" w:rsidR="005F1223" w:rsidRPr="00E15C13" w:rsidRDefault="005F1223" w:rsidP="005F1223">
            <w:pPr>
              <w:spacing w:after="0" w:line="240" w:lineRule="auto"/>
              <w:rPr>
                <w:rFonts w:ascii="Arial" w:eastAsia="Times New Roman" w:hAnsi="Arial" w:cs="Arial"/>
                <w:lang w:eastAsia="en-GB"/>
              </w:rPr>
            </w:pPr>
            <w:r w:rsidRPr="00E15C13">
              <w:rPr>
                <w:rFonts w:ascii="Arial" w:eastAsia="Times New Roman" w:hAnsi="Arial" w:cs="Arial"/>
                <w:lang w:eastAsia="en-GB"/>
              </w:rPr>
              <w:t>North East Lincolnshire CCG</w:t>
            </w:r>
          </w:p>
          <w:p w14:paraId="4C322E90" w14:textId="77777777" w:rsidR="005F1223" w:rsidRPr="00E15C13" w:rsidRDefault="005F1223" w:rsidP="005F1223">
            <w:pPr>
              <w:spacing w:after="0" w:line="240" w:lineRule="auto"/>
              <w:rPr>
                <w:rFonts w:ascii="Arial" w:eastAsia="Times New Roman" w:hAnsi="Arial" w:cs="Arial"/>
                <w:lang w:eastAsia="en-GB"/>
              </w:rPr>
            </w:pPr>
            <w:r w:rsidRPr="00E15C13">
              <w:rPr>
                <w:rFonts w:ascii="Arial" w:eastAsia="Times New Roman" w:hAnsi="Arial" w:cs="Arial"/>
                <w:lang w:eastAsia="en-GB"/>
              </w:rPr>
              <w:t>Individual Funding Requests Policy and</w:t>
            </w:r>
          </w:p>
          <w:p w14:paraId="3C313B3B" w14:textId="77777777" w:rsidR="005F1223" w:rsidRPr="00E15C13" w:rsidRDefault="005F1223" w:rsidP="005F1223">
            <w:pPr>
              <w:spacing w:after="0" w:line="240" w:lineRule="auto"/>
              <w:rPr>
                <w:rFonts w:ascii="Arial" w:eastAsia="Times New Roman" w:hAnsi="Arial" w:cs="Arial"/>
                <w:lang w:eastAsia="en-GB"/>
              </w:rPr>
            </w:pPr>
            <w:r w:rsidRPr="00E15C13">
              <w:rPr>
                <w:rFonts w:ascii="Arial" w:eastAsia="Times New Roman" w:hAnsi="Arial" w:cs="Arial"/>
                <w:lang w:eastAsia="en-GB"/>
              </w:rPr>
              <w:t>Procedures of Low Clinical value</w:t>
            </w:r>
          </w:p>
          <w:p w14:paraId="47BA1602" w14:textId="77777777" w:rsidR="005F1223" w:rsidRPr="005F1223" w:rsidRDefault="005F1223" w:rsidP="005F1223">
            <w:pPr>
              <w:spacing w:after="0" w:line="240" w:lineRule="auto"/>
              <w:rPr>
                <w:rFonts w:ascii="Arial" w:eastAsia="Times New Roman" w:hAnsi="Arial" w:cs="Arial"/>
                <w:lang w:eastAsia="en-GB"/>
              </w:rPr>
            </w:pPr>
            <w:r w:rsidRPr="00E15C13">
              <w:rPr>
                <w:rFonts w:ascii="Arial" w:eastAsia="Times New Roman" w:hAnsi="Arial" w:cs="Arial"/>
                <w:lang w:eastAsia="en-GB"/>
              </w:rPr>
              <w:t>Including Evidence based interventions update</w:t>
            </w:r>
          </w:p>
        </w:tc>
      </w:tr>
      <w:tr w:rsidR="005F1223" w:rsidRPr="005F1223" w14:paraId="41F1905E" w14:textId="77777777" w:rsidTr="002244D2">
        <w:tc>
          <w:tcPr>
            <w:tcW w:w="4106" w:type="dxa"/>
            <w:shd w:val="clear" w:color="auto" w:fill="F2F2F2" w:themeFill="background1" w:themeFillShade="F2"/>
          </w:tcPr>
          <w:p w14:paraId="7F56E6CF"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Version No:</w:t>
            </w:r>
          </w:p>
        </w:tc>
        <w:tc>
          <w:tcPr>
            <w:tcW w:w="6095" w:type="dxa"/>
          </w:tcPr>
          <w:p w14:paraId="43E1A130" w14:textId="77777777" w:rsidR="005F1223" w:rsidRPr="005F1223" w:rsidRDefault="009F2DE1" w:rsidP="005F1223">
            <w:pPr>
              <w:spacing w:after="0" w:line="240" w:lineRule="auto"/>
              <w:jc w:val="both"/>
              <w:rPr>
                <w:rFonts w:ascii="Arial" w:eastAsia="Times New Roman" w:hAnsi="Arial" w:cs="Arial"/>
                <w:lang w:eastAsia="en-GB"/>
              </w:rPr>
            </w:pPr>
            <w:r>
              <w:rPr>
                <w:rFonts w:ascii="Arial" w:eastAsia="Times New Roman" w:hAnsi="Arial" w:cs="Arial"/>
                <w:lang w:eastAsia="en-GB"/>
              </w:rPr>
              <w:t>8</w:t>
            </w:r>
            <w:r w:rsidR="005F1223" w:rsidRPr="00E15C13">
              <w:rPr>
                <w:rFonts w:ascii="Arial" w:eastAsia="Times New Roman" w:hAnsi="Arial" w:cs="Arial"/>
                <w:lang w:eastAsia="en-GB"/>
              </w:rPr>
              <w:t>.0</w:t>
            </w:r>
          </w:p>
        </w:tc>
      </w:tr>
      <w:tr w:rsidR="005F1223" w:rsidRPr="005F1223" w14:paraId="4496DD63" w14:textId="77777777" w:rsidTr="002244D2">
        <w:tc>
          <w:tcPr>
            <w:tcW w:w="4106" w:type="dxa"/>
            <w:shd w:val="clear" w:color="auto" w:fill="F2F2F2" w:themeFill="background1" w:themeFillShade="F2"/>
          </w:tcPr>
          <w:p w14:paraId="6B3C4F7F"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 xml:space="preserve">Latest version issued: </w:t>
            </w:r>
          </w:p>
        </w:tc>
        <w:tc>
          <w:tcPr>
            <w:tcW w:w="6095" w:type="dxa"/>
          </w:tcPr>
          <w:p w14:paraId="03C2A3D1" w14:textId="77777777" w:rsidR="005F1223" w:rsidRPr="00E15C13" w:rsidRDefault="005F1223" w:rsidP="005F1223">
            <w:pPr>
              <w:spacing w:after="0" w:line="240" w:lineRule="auto"/>
              <w:rPr>
                <w:rFonts w:ascii="Arial" w:eastAsia="Times New Roman" w:hAnsi="Arial" w:cs="Arial"/>
                <w:lang w:eastAsia="en-GB"/>
              </w:rPr>
            </w:pPr>
            <w:r w:rsidRPr="00E15C13">
              <w:rPr>
                <w:rFonts w:ascii="Arial" w:eastAsia="Times New Roman" w:hAnsi="Arial" w:cs="Arial"/>
                <w:lang w:eastAsia="en-GB"/>
              </w:rPr>
              <w:t>Individual Funding Requests Policy and</w:t>
            </w:r>
          </w:p>
          <w:p w14:paraId="5D1332F6" w14:textId="77777777" w:rsidR="005F1223" w:rsidRPr="005F1223" w:rsidRDefault="005F1223" w:rsidP="005F1223">
            <w:pPr>
              <w:spacing w:after="0" w:line="240" w:lineRule="auto"/>
              <w:rPr>
                <w:rFonts w:ascii="Arial" w:eastAsia="Times New Roman" w:hAnsi="Arial" w:cs="Arial"/>
                <w:lang w:eastAsia="en-GB"/>
              </w:rPr>
            </w:pPr>
            <w:r w:rsidRPr="00E15C13">
              <w:rPr>
                <w:rFonts w:ascii="Arial" w:eastAsia="Times New Roman" w:hAnsi="Arial" w:cs="Arial"/>
                <w:lang w:eastAsia="en-GB"/>
              </w:rPr>
              <w:t>Procedures of Low Clinical value</w:t>
            </w:r>
          </w:p>
        </w:tc>
      </w:tr>
      <w:tr w:rsidR="005F1223" w:rsidRPr="005F1223" w14:paraId="7F8C0F4A" w14:textId="77777777" w:rsidTr="002244D2">
        <w:tc>
          <w:tcPr>
            <w:tcW w:w="4106" w:type="dxa"/>
            <w:shd w:val="clear" w:color="auto" w:fill="F2F2F2" w:themeFill="background1" w:themeFillShade="F2"/>
          </w:tcPr>
          <w:p w14:paraId="6AB7E685"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Supersedes:</w:t>
            </w:r>
          </w:p>
        </w:tc>
        <w:tc>
          <w:tcPr>
            <w:tcW w:w="6095" w:type="dxa"/>
          </w:tcPr>
          <w:p w14:paraId="2C136811" w14:textId="77777777" w:rsidR="005F1223" w:rsidRPr="005F1223" w:rsidRDefault="005F1223" w:rsidP="005F1223">
            <w:pPr>
              <w:spacing w:after="0" w:line="240" w:lineRule="auto"/>
              <w:jc w:val="both"/>
              <w:rPr>
                <w:rFonts w:ascii="Arial" w:eastAsia="Times New Roman" w:hAnsi="Arial" w:cs="Arial"/>
                <w:lang w:eastAsia="en-GB"/>
              </w:rPr>
            </w:pPr>
            <w:r w:rsidRPr="005F1223">
              <w:rPr>
                <w:rFonts w:ascii="Arial" w:eastAsia="Times New Roman" w:hAnsi="Arial" w:cs="Arial"/>
                <w:lang w:eastAsia="en-GB"/>
              </w:rPr>
              <w:t>Insert name of policy(s) this policy replaces</w:t>
            </w:r>
          </w:p>
        </w:tc>
      </w:tr>
      <w:tr w:rsidR="005F1223" w:rsidRPr="005F1223" w14:paraId="2CF0CE8C" w14:textId="77777777" w:rsidTr="002244D2">
        <w:tc>
          <w:tcPr>
            <w:tcW w:w="4106" w:type="dxa"/>
            <w:shd w:val="clear" w:color="auto" w:fill="F2F2F2" w:themeFill="background1" w:themeFillShade="F2"/>
          </w:tcPr>
          <w:p w14:paraId="3B339626"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Name of Author (s):</w:t>
            </w:r>
          </w:p>
        </w:tc>
        <w:tc>
          <w:tcPr>
            <w:tcW w:w="6095" w:type="dxa"/>
          </w:tcPr>
          <w:p w14:paraId="45140AD8" w14:textId="77777777" w:rsidR="005F1223" w:rsidRPr="005F1223" w:rsidRDefault="005F1223" w:rsidP="00825E71">
            <w:pPr>
              <w:spacing w:after="0" w:line="240" w:lineRule="auto"/>
              <w:rPr>
                <w:rFonts w:ascii="Arial" w:eastAsia="Times New Roman" w:hAnsi="Arial" w:cs="Arial"/>
                <w:lang w:eastAsia="en-GB"/>
              </w:rPr>
            </w:pPr>
            <w:r w:rsidRPr="00E15C13">
              <w:rPr>
                <w:rFonts w:ascii="Arial" w:eastAsia="Times New Roman" w:hAnsi="Arial" w:cs="Arial"/>
                <w:lang w:eastAsia="en-GB"/>
              </w:rPr>
              <w:t>Eddie McCabe – Assistant Director Contracts and Performance</w:t>
            </w:r>
          </w:p>
        </w:tc>
      </w:tr>
      <w:tr w:rsidR="005F1223" w:rsidRPr="005F1223" w14:paraId="7EBF074E" w14:textId="77777777" w:rsidTr="002244D2">
        <w:tc>
          <w:tcPr>
            <w:tcW w:w="4106" w:type="dxa"/>
            <w:shd w:val="clear" w:color="auto" w:fill="F2F2F2" w:themeFill="background1" w:themeFillShade="F2"/>
          </w:tcPr>
          <w:p w14:paraId="2D308EAD"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Consultation:</w:t>
            </w:r>
          </w:p>
        </w:tc>
        <w:tc>
          <w:tcPr>
            <w:tcW w:w="6095" w:type="dxa"/>
          </w:tcPr>
          <w:p w14:paraId="3ADE5711" w14:textId="77777777" w:rsidR="005F1223" w:rsidRPr="005F1223" w:rsidRDefault="005F1223" w:rsidP="009F2DE1">
            <w:pPr>
              <w:spacing w:after="0" w:line="240" w:lineRule="auto"/>
              <w:jc w:val="both"/>
              <w:rPr>
                <w:rFonts w:ascii="Arial" w:eastAsia="Times New Roman" w:hAnsi="Arial" w:cs="Arial"/>
                <w:lang w:eastAsia="en-GB"/>
              </w:rPr>
            </w:pPr>
            <w:r w:rsidRPr="00E15C13">
              <w:rPr>
                <w:rFonts w:ascii="Arial" w:eastAsia="Times New Roman" w:hAnsi="Arial" w:cs="Arial"/>
                <w:lang w:eastAsia="en-GB"/>
              </w:rPr>
              <w:t xml:space="preserve">This is an update related to changes in the national Contract </w:t>
            </w:r>
            <w:proofErr w:type="gramStart"/>
            <w:r w:rsidRPr="00E15C13">
              <w:rPr>
                <w:rFonts w:ascii="Arial" w:eastAsia="Times New Roman" w:hAnsi="Arial" w:cs="Arial"/>
                <w:lang w:eastAsia="en-GB"/>
              </w:rPr>
              <w:t>evidence based</w:t>
            </w:r>
            <w:proofErr w:type="gramEnd"/>
            <w:r w:rsidRPr="00E15C13">
              <w:rPr>
                <w:rFonts w:ascii="Arial" w:eastAsia="Times New Roman" w:hAnsi="Arial" w:cs="Arial"/>
                <w:lang w:eastAsia="en-GB"/>
              </w:rPr>
              <w:t xml:space="preserve"> Interventions and agreement of a range of </w:t>
            </w:r>
            <w:r w:rsidR="009F2DE1">
              <w:rPr>
                <w:rFonts w:ascii="Arial" w:eastAsia="Times New Roman" w:hAnsi="Arial" w:cs="Arial"/>
                <w:lang w:eastAsia="en-GB"/>
              </w:rPr>
              <w:t>Commissioning Statements a</w:t>
            </w:r>
            <w:r w:rsidRPr="00E15C13">
              <w:rPr>
                <w:rFonts w:ascii="Arial" w:eastAsia="Times New Roman" w:hAnsi="Arial" w:cs="Arial"/>
                <w:lang w:eastAsia="en-GB"/>
              </w:rPr>
              <w:t>greed across the 4 Humber CCG’s. There is no change in the fundamental policy implementation</w:t>
            </w:r>
          </w:p>
        </w:tc>
      </w:tr>
      <w:tr w:rsidR="005F1223" w:rsidRPr="005F1223" w14:paraId="240F7175" w14:textId="77777777" w:rsidTr="002244D2">
        <w:tc>
          <w:tcPr>
            <w:tcW w:w="4106" w:type="dxa"/>
            <w:shd w:val="clear" w:color="auto" w:fill="F2F2F2" w:themeFill="background1" w:themeFillShade="F2"/>
          </w:tcPr>
          <w:p w14:paraId="01883D44"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Approved by:</w:t>
            </w:r>
          </w:p>
        </w:tc>
        <w:tc>
          <w:tcPr>
            <w:tcW w:w="6095" w:type="dxa"/>
          </w:tcPr>
          <w:p w14:paraId="62A30BFA" w14:textId="77777777" w:rsidR="005F1223" w:rsidRPr="005F1223" w:rsidRDefault="005F1223" w:rsidP="005F1223">
            <w:pPr>
              <w:spacing w:after="0" w:line="240" w:lineRule="auto"/>
              <w:jc w:val="both"/>
              <w:rPr>
                <w:rFonts w:ascii="Arial" w:eastAsia="Times New Roman" w:hAnsi="Arial" w:cs="Arial"/>
                <w:lang w:eastAsia="en-GB"/>
              </w:rPr>
            </w:pPr>
            <w:r w:rsidRPr="00E15C13">
              <w:rPr>
                <w:rFonts w:ascii="Arial" w:eastAsia="Times New Roman" w:hAnsi="Arial" w:cs="Arial"/>
                <w:lang w:eastAsia="en-GB"/>
              </w:rPr>
              <w:t>Care Contracting Committee</w:t>
            </w:r>
          </w:p>
        </w:tc>
      </w:tr>
      <w:tr w:rsidR="005F1223" w:rsidRPr="005F1223" w14:paraId="4C8766B2" w14:textId="77777777" w:rsidTr="002244D2">
        <w:tc>
          <w:tcPr>
            <w:tcW w:w="4106" w:type="dxa"/>
            <w:shd w:val="clear" w:color="auto" w:fill="F2F2F2" w:themeFill="background1" w:themeFillShade="F2"/>
          </w:tcPr>
          <w:p w14:paraId="7F804933"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Approval date:</w:t>
            </w:r>
          </w:p>
        </w:tc>
        <w:tc>
          <w:tcPr>
            <w:tcW w:w="6095" w:type="dxa"/>
          </w:tcPr>
          <w:p w14:paraId="77853677" w14:textId="77777777" w:rsidR="005F1223" w:rsidRPr="005F1223" w:rsidRDefault="000E3E6D" w:rsidP="005F1223">
            <w:pPr>
              <w:spacing w:after="0" w:line="240" w:lineRule="auto"/>
              <w:jc w:val="both"/>
              <w:rPr>
                <w:rFonts w:ascii="Arial" w:eastAsia="Times New Roman" w:hAnsi="Arial" w:cs="Arial"/>
                <w:lang w:eastAsia="en-GB"/>
              </w:rPr>
            </w:pPr>
            <w:r>
              <w:rPr>
                <w:rFonts w:ascii="Arial" w:eastAsia="Times New Roman" w:hAnsi="Arial" w:cs="Arial"/>
                <w:lang w:eastAsia="en-GB"/>
              </w:rPr>
              <w:t>16-05-20</w:t>
            </w:r>
          </w:p>
        </w:tc>
      </w:tr>
      <w:tr w:rsidR="005F1223" w:rsidRPr="005F1223" w14:paraId="3D175C31" w14:textId="77777777" w:rsidTr="002244D2">
        <w:tc>
          <w:tcPr>
            <w:tcW w:w="4106" w:type="dxa"/>
            <w:shd w:val="clear" w:color="auto" w:fill="F2F2F2" w:themeFill="background1" w:themeFillShade="F2"/>
          </w:tcPr>
          <w:p w14:paraId="017B910F" w14:textId="77777777" w:rsidR="00E15C1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Review date:</w:t>
            </w:r>
          </w:p>
        </w:tc>
        <w:tc>
          <w:tcPr>
            <w:tcW w:w="6095" w:type="dxa"/>
          </w:tcPr>
          <w:p w14:paraId="7C78B07B" w14:textId="217934AD" w:rsidR="005F1223" w:rsidRPr="005F1223" w:rsidRDefault="005245E5" w:rsidP="009F2DE1">
            <w:pPr>
              <w:spacing w:after="0" w:line="240" w:lineRule="auto"/>
              <w:jc w:val="both"/>
              <w:rPr>
                <w:rFonts w:ascii="Arial" w:eastAsia="Times New Roman" w:hAnsi="Arial" w:cs="Arial"/>
                <w:lang w:eastAsia="en-GB"/>
              </w:rPr>
            </w:pPr>
            <w:r>
              <w:rPr>
                <w:rFonts w:ascii="Arial" w:eastAsia="Times New Roman" w:hAnsi="Arial" w:cs="Arial"/>
                <w:lang w:eastAsia="en-GB"/>
              </w:rPr>
              <w:t>30/09/2024</w:t>
            </w:r>
          </w:p>
        </w:tc>
      </w:tr>
      <w:tr w:rsidR="005F1223" w:rsidRPr="005F1223" w14:paraId="70C343C9" w14:textId="77777777" w:rsidTr="002244D2">
        <w:tc>
          <w:tcPr>
            <w:tcW w:w="4106" w:type="dxa"/>
            <w:shd w:val="clear" w:color="auto" w:fill="F2F2F2" w:themeFill="background1" w:themeFillShade="F2"/>
          </w:tcPr>
          <w:p w14:paraId="44388C68"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Equality Impact Assessment Date:</w:t>
            </w:r>
          </w:p>
        </w:tc>
        <w:tc>
          <w:tcPr>
            <w:tcW w:w="6095" w:type="dxa"/>
          </w:tcPr>
          <w:p w14:paraId="486F4BFF" w14:textId="77777777" w:rsidR="005F1223" w:rsidRPr="005F1223" w:rsidRDefault="009C5750" w:rsidP="005F1223">
            <w:pPr>
              <w:spacing w:after="0" w:line="240" w:lineRule="auto"/>
              <w:jc w:val="both"/>
              <w:rPr>
                <w:rFonts w:ascii="Arial" w:eastAsia="Times New Roman" w:hAnsi="Arial" w:cs="Arial"/>
                <w:lang w:eastAsia="en-GB"/>
              </w:rPr>
            </w:pPr>
            <w:r>
              <w:rPr>
                <w:rFonts w:ascii="Arial" w:eastAsia="Times New Roman" w:hAnsi="Arial" w:cs="Arial"/>
                <w:lang w:eastAsia="en-GB"/>
              </w:rPr>
              <w:t>April 2019</w:t>
            </w:r>
            <w:r w:rsidR="00102F11">
              <w:rPr>
                <w:rFonts w:ascii="Arial" w:eastAsia="Times New Roman" w:hAnsi="Arial" w:cs="Arial"/>
                <w:lang w:eastAsia="en-GB"/>
              </w:rPr>
              <w:t xml:space="preserve"> (reviewed April 2020)</w:t>
            </w:r>
          </w:p>
        </w:tc>
      </w:tr>
      <w:tr w:rsidR="005F1223" w:rsidRPr="005F1223" w14:paraId="5727F917" w14:textId="77777777" w:rsidTr="002244D2">
        <w:trPr>
          <w:trHeight w:val="375"/>
        </w:trPr>
        <w:tc>
          <w:tcPr>
            <w:tcW w:w="4106" w:type="dxa"/>
            <w:shd w:val="clear" w:color="auto" w:fill="F2F2F2" w:themeFill="background1" w:themeFillShade="F2"/>
          </w:tcPr>
          <w:p w14:paraId="0E0C612C"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Target Audience:</w:t>
            </w:r>
          </w:p>
        </w:tc>
        <w:tc>
          <w:tcPr>
            <w:tcW w:w="6095" w:type="dxa"/>
          </w:tcPr>
          <w:p w14:paraId="0BF87EDF" w14:textId="77777777" w:rsidR="005F1223" w:rsidRPr="005F1223" w:rsidRDefault="005245E5" w:rsidP="005F1223">
            <w:pPr>
              <w:spacing w:after="0" w:line="240" w:lineRule="auto"/>
              <w:jc w:val="both"/>
              <w:rPr>
                <w:rFonts w:ascii="Arial" w:eastAsia="Times New Roman" w:hAnsi="Arial" w:cs="Arial"/>
                <w:lang w:eastAsia="en-GB"/>
              </w:rPr>
            </w:pPr>
            <w:sdt>
              <w:sdtPr>
                <w:rPr>
                  <w:rFonts w:ascii="Arial" w:eastAsia="Times New Roman" w:hAnsi="Arial" w:cs="Arial"/>
                  <w:lang w:eastAsia="en-GB"/>
                </w:rPr>
                <w:id w:val="439412599"/>
                <w:dropDownList>
                  <w:listItem w:value="Choose an item."/>
                  <w:listItem w:displayText="Public" w:value="Public"/>
                  <w:listItem w:displayText="CCG Staff only" w:value="CCG Staff only"/>
                  <w:listItem w:displayText="CCG Staff &amp; Member (GP's)" w:value="CCG Staff &amp; Member (GP's)"/>
                  <w:listItem w:displayText="CCG Staff &amp; Focus" w:value="CCG Staff &amp; Focus"/>
                </w:dropDownList>
              </w:sdtPr>
              <w:sdtEndPr/>
              <w:sdtContent>
                <w:r w:rsidR="00E15C13">
                  <w:rPr>
                    <w:rFonts w:ascii="Arial" w:eastAsia="Times New Roman" w:hAnsi="Arial" w:cs="Arial"/>
                    <w:lang w:eastAsia="en-GB"/>
                  </w:rPr>
                  <w:t>Public</w:t>
                </w:r>
              </w:sdtContent>
            </w:sdt>
          </w:p>
        </w:tc>
      </w:tr>
      <w:tr w:rsidR="005F1223" w:rsidRPr="005F1223" w14:paraId="6E7781CD" w14:textId="77777777" w:rsidTr="002244D2">
        <w:tc>
          <w:tcPr>
            <w:tcW w:w="4106" w:type="dxa"/>
            <w:shd w:val="clear" w:color="auto" w:fill="F2F2F2" w:themeFill="background1" w:themeFillShade="F2"/>
          </w:tcPr>
          <w:p w14:paraId="338BDD85" w14:textId="77777777" w:rsidR="005F1223" w:rsidRPr="005F1223" w:rsidRDefault="005F1223" w:rsidP="005F1223">
            <w:pPr>
              <w:spacing w:after="0" w:line="240" w:lineRule="auto"/>
              <w:jc w:val="both"/>
              <w:rPr>
                <w:rFonts w:ascii="Arial" w:eastAsia="Times New Roman" w:hAnsi="Arial" w:cs="Arial"/>
                <w:b/>
                <w:lang w:eastAsia="en-GB"/>
              </w:rPr>
            </w:pPr>
            <w:r w:rsidRPr="005F1223">
              <w:rPr>
                <w:rFonts w:ascii="Arial" w:eastAsia="Times New Roman" w:hAnsi="Arial" w:cs="Arial"/>
                <w:b/>
                <w:lang w:eastAsia="en-GB"/>
              </w:rPr>
              <w:t>Dissemination:</w:t>
            </w:r>
          </w:p>
        </w:tc>
        <w:tc>
          <w:tcPr>
            <w:tcW w:w="6095" w:type="dxa"/>
          </w:tcPr>
          <w:p w14:paraId="17BDFBF4" w14:textId="77777777" w:rsidR="005F1223" w:rsidRPr="005F1223" w:rsidRDefault="00721A20" w:rsidP="00721A20">
            <w:pPr>
              <w:spacing w:after="0" w:line="240" w:lineRule="auto"/>
              <w:rPr>
                <w:rFonts w:ascii="Arial" w:eastAsia="Times New Roman" w:hAnsi="Arial" w:cs="Arial"/>
                <w:sz w:val="20"/>
                <w:szCs w:val="20"/>
                <w:lang w:eastAsia="en-GB"/>
              </w:rPr>
            </w:pPr>
            <w:r>
              <w:rPr>
                <w:rFonts w:ascii="Arial" w:eastAsia="Times New Roman" w:hAnsi="Arial" w:cs="Arial"/>
                <w:lang w:eastAsia="en-GB"/>
              </w:rPr>
              <w:t>NELCCG Intranet and Internet</w:t>
            </w:r>
          </w:p>
        </w:tc>
      </w:tr>
    </w:tbl>
    <w:p w14:paraId="79BB7E38" w14:textId="77777777" w:rsidR="0029744C" w:rsidRDefault="0029744C" w:rsidP="00B16CEA">
      <w:pPr>
        <w:spacing w:after="0" w:line="240" w:lineRule="auto"/>
        <w:rPr>
          <w:rFonts w:ascii="Arial" w:hAnsi="Arial" w:cs="Arial"/>
          <w:b/>
          <w:sz w:val="24"/>
          <w:szCs w:val="24"/>
        </w:rPr>
      </w:pPr>
    </w:p>
    <w:p w14:paraId="28E62826" w14:textId="77777777" w:rsidR="0029744C" w:rsidRDefault="0029744C" w:rsidP="00B16CEA">
      <w:pPr>
        <w:spacing w:after="0" w:line="240" w:lineRule="auto"/>
        <w:rPr>
          <w:rFonts w:ascii="Arial" w:hAnsi="Arial" w:cs="Arial"/>
          <w:b/>
          <w:sz w:val="24"/>
          <w:szCs w:val="24"/>
        </w:rPr>
      </w:pPr>
    </w:p>
    <w:p w14:paraId="209F12BF" w14:textId="77777777" w:rsidR="002244D2" w:rsidRDefault="002244D2" w:rsidP="00B16CEA">
      <w:pPr>
        <w:spacing w:after="0" w:line="240" w:lineRule="auto"/>
        <w:rPr>
          <w:rFonts w:ascii="Arial" w:hAnsi="Arial" w:cs="Arial"/>
          <w:b/>
          <w:sz w:val="24"/>
          <w:szCs w:val="24"/>
        </w:rPr>
      </w:pPr>
    </w:p>
    <w:p w14:paraId="119EF42B" w14:textId="77777777" w:rsidR="0029744C" w:rsidRDefault="0029744C" w:rsidP="00B16CEA">
      <w:pPr>
        <w:spacing w:after="0" w:line="240" w:lineRule="auto"/>
        <w:rPr>
          <w:rFonts w:ascii="Arial" w:hAnsi="Arial" w:cs="Arial"/>
          <w:b/>
          <w:sz w:val="24"/>
          <w:szCs w:val="24"/>
        </w:rPr>
      </w:pPr>
    </w:p>
    <w:tbl>
      <w:tblPr>
        <w:tblpPr w:leftFromText="180" w:rightFromText="180" w:vertAnchor="text" w:horzAnchor="margin" w:tblpY="14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413"/>
        <w:gridCol w:w="2687"/>
      </w:tblGrid>
      <w:tr w:rsidR="002244D2" w:rsidRPr="002244D2" w14:paraId="3D692DE2" w14:textId="77777777" w:rsidTr="002244D2">
        <w:tc>
          <w:tcPr>
            <w:tcW w:w="1101" w:type="dxa"/>
            <w:shd w:val="clear" w:color="auto" w:fill="F2F2F2" w:themeFill="background1" w:themeFillShade="F2"/>
          </w:tcPr>
          <w:p w14:paraId="1A09D3BD" w14:textId="77777777" w:rsidR="002244D2" w:rsidRPr="002244D2" w:rsidRDefault="002244D2" w:rsidP="002244D2">
            <w:pPr>
              <w:spacing w:after="0" w:line="240" w:lineRule="auto"/>
              <w:jc w:val="center"/>
              <w:rPr>
                <w:rFonts w:ascii="Arial" w:eastAsia="Times New Roman" w:hAnsi="Arial" w:cs="Arial"/>
                <w:b/>
                <w:lang w:eastAsia="en-GB"/>
              </w:rPr>
            </w:pPr>
            <w:r w:rsidRPr="002244D2">
              <w:rPr>
                <w:rFonts w:ascii="Arial" w:eastAsia="Times New Roman" w:hAnsi="Arial" w:cs="Arial"/>
                <w:b/>
                <w:lang w:eastAsia="en-GB"/>
              </w:rPr>
              <w:t>Version</w:t>
            </w:r>
          </w:p>
        </w:tc>
        <w:tc>
          <w:tcPr>
            <w:tcW w:w="6413" w:type="dxa"/>
            <w:shd w:val="clear" w:color="auto" w:fill="F2F2F2" w:themeFill="background1" w:themeFillShade="F2"/>
          </w:tcPr>
          <w:p w14:paraId="060CC365" w14:textId="77777777" w:rsidR="002244D2" w:rsidRPr="002244D2" w:rsidRDefault="002244D2" w:rsidP="002244D2">
            <w:pPr>
              <w:spacing w:after="0" w:line="240" w:lineRule="auto"/>
              <w:jc w:val="center"/>
              <w:rPr>
                <w:rFonts w:ascii="Arial" w:eastAsia="Times New Roman" w:hAnsi="Arial" w:cs="Arial"/>
                <w:b/>
                <w:lang w:eastAsia="en-GB"/>
              </w:rPr>
            </w:pPr>
            <w:r w:rsidRPr="002244D2">
              <w:rPr>
                <w:rFonts w:ascii="Arial" w:eastAsia="Times New Roman" w:hAnsi="Arial" w:cs="Arial"/>
                <w:b/>
                <w:lang w:eastAsia="en-GB"/>
              </w:rPr>
              <w:t xml:space="preserve">Description of Amendments </w:t>
            </w:r>
          </w:p>
        </w:tc>
        <w:tc>
          <w:tcPr>
            <w:tcW w:w="2687" w:type="dxa"/>
            <w:shd w:val="clear" w:color="auto" w:fill="F2F2F2" w:themeFill="background1" w:themeFillShade="F2"/>
          </w:tcPr>
          <w:p w14:paraId="32B0A2FA" w14:textId="77777777" w:rsidR="002244D2" w:rsidRPr="002244D2" w:rsidRDefault="002244D2" w:rsidP="002244D2">
            <w:pPr>
              <w:spacing w:after="0" w:line="240" w:lineRule="auto"/>
              <w:jc w:val="center"/>
              <w:rPr>
                <w:rFonts w:ascii="Arial" w:eastAsia="Times New Roman" w:hAnsi="Arial" w:cs="Arial"/>
                <w:b/>
                <w:lang w:eastAsia="en-GB"/>
              </w:rPr>
            </w:pPr>
            <w:r w:rsidRPr="002244D2">
              <w:rPr>
                <w:rFonts w:ascii="Arial" w:eastAsia="Times New Roman" w:hAnsi="Arial" w:cs="Arial"/>
                <w:b/>
                <w:lang w:eastAsia="en-GB"/>
              </w:rPr>
              <w:t xml:space="preserve">Date </w:t>
            </w:r>
          </w:p>
        </w:tc>
      </w:tr>
      <w:tr w:rsidR="002244D2" w:rsidRPr="002244D2" w14:paraId="31FE4E8A" w14:textId="77777777" w:rsidTr="002244D2">
        <w:tc>
          <w:tcPr>
            <w:tcW w:w="1101" w:type="dxa"/>
          </w:tcPr>
          <w:p w14:paraId="07120182" w14:textId="77777777" w:rsidR="002244D2" w:rsidRPr="002244D2" w:rsidRDefault="009F2DE1" w:rsidP="002244D2">
            <w:pPr>
              <w:spacing w:after="0" w:line="240" w:lineRule="auto"/>
              <w:jc w:val="center"/>
              <w:rPr>
                <w:rFonts w:ascii="Arial" w:eastAsia="Times New Roman" w:hAnsi="Arial" w:cs="Arial"/>
                <w:lang w:eastAsia="en-GB"/>
              </w:rPr>
            </w:pPr>
            <w:r>
              <w:rPr>
                <w:rFonts w:ascii="Arial" w:eastAsia="Times New Roman" w:hAnsi="Arial" w:cs="Arial"/>
                <w:lang w:eastAsia="en-GB"/>
              </w:rPr>
              <w:t>8.0</w:t>
            </w:r>
          </w:p>
        </w:tc>
        <w:tc>
          <w:tcPr>
            <w:tcW w:w="6413" w:type="dxa"/>
          </w:tcPr>
          <w:p w14:paraId="58D099DD" w14:textId="77777777" w:rsidR="002244D2" w:rsidRPr="002244D2" w:rsidRDefault="009F2DE1" w:rsidP="002244D2">
            <w:pPr>
              <w:spacing w:after="0" w:line="240" w:lineRule="auto"/>
              <w:rPr>
                <w:rFonts w:ascii="Arial" w:eastAsia="Times New Roman" w:hAnsi="Arial" w:cs="Arial"/>
                <w:lang w:eastAsia="en-GB"/>
              </w:rPr>
            </w:pPr>
            <w:r>
              <w:rPr>
                <w:rFonts w:ascii="Arial" w:eastAsia="Times New Roman" w:hAnsi="Arial" w:cs="Arial"/>
                <w:lang w:eastAsia="en-GB"/>
              </w:rPr>
              <w:t>Fundamental Review and Update</w:t>
            </w:r>
          </w:p>
        </w:tc>
        <w:tc>
          <w:tcPr>
            <w:tcW w:w="2687" w:type="dxa"/>
          </w:tcPr>
          <w:p w14:paraId="55AB919E" w14:textId="77777777" w:rsidR="002244D2" w:rsidRPr="002244D2" w:rsidRDefault="009F2DE1" w:rsidP="00102F11">
            <w:pPr>
              <w:spacing w:after="0" w:line="240" w:lineRule="auto"/>
              <w:jc w:val="center"/>
              <w:rPr>
                <w:rFonts w:ascii="Arial" w:eastAsia="Times New Roman" w:hAnsi="Arial" w:cs="Arial"/>
                <w:lang w:eastAsia="en-GB"/>
              </w:rPr>
            </w:pPr>
            <w:r>
              <w:rPr>
                <w:rFonts w:ascii="Arial" w:eastAsia="Times New Roman" w:hAnsi="Arial" w:cs="Arial"/>
                <w:lang w:eastAsia="en-GB"/>
              </w:rPr>
              <w:t>1</w:t>
            </w:r>
            <w:r w:rsidR="00102F11">
              <w:rPr>
                <w:rFonts w:ascii="Arial" w:eastAsia="Times New Roman" w:hAnsi="Arial" w:cs="Arial"/>
                <w:lang w:eastAsia="en-GB"/>
              </w:rPr>
              <w:t>1</w:t>
            </w:r>
            <w:r>
              <w:rPr>
                <w:rFonts w:ascii="Arial" w:eastAsia="Times New Roman" w:hAnsi="Arial" w:cs="Arial"/>
                <w:lang w:eastAsia="en-GB"/>
              </w:rPr>
              <w:t>/0</w:t>
            </w:r>
            <w:r w:rsidR="00102F11">
              <w:rPr>
                <w:rFonts w:ascii="Arial" w:eastAsia="Times New Roman" w:hAnsi="Arial" w:cs="Arial"/>
                <w:lang w:eastAsia="en-GB"/>
              </w:rPr>
              <w:t>5</w:t>
            </w:r>
            <w:r>
              <w:rPr>
                <w:rFonts w:ascii="Arial" w:eastAsia="Times New Roman" w:hAnsi="Arial" w:cs="Arial"/>
                <w:lang w:eastAsia="en-GB"/>
              </w:rPr>
              <w:t>/2020</w:t>
            </w:r>
          </w:p>
        </w:tc>
      </w:tr>
      <w:tr w:rsidR="002244D2" w:rsidRPr="002244D2" w14:paraId="2C88CA05" w14:textId="77777777" w:rsidTr="002244D2">
        <w:tc>
          <w:tcPr>
            <w:tcW w:w="1101" w:type="dxa"/>
          </w:tcPr>
          <w:p w14:paraId="0417CC71" w14:textId="77777777" w:rsidR="002244D2" w:rsidRPr="002244D2" w:rsidRDefault="002244D2" w:rsidP="002244D2">
            <w:pPr>
              <w:spacing w:after="0" w:line="240" w:lineRule="auto"/>
              <w:jc w:val="center"/>
              <w:rPr>
                <w:rFonts w:ascii="Arial" w:eastAsia="Times New Roman" w:hAnsi="Arial" w:cs="Arial"/>
                <w:lang w:eastAsia="en-GB"/>
              </w:rPr>
            </w:pPr>
          </w:p>
        </w:tc>
        <w:tc>
          <w:tcPr>
            <w:tcW w:w="6413" w:type="dxa"/>
          </w:tcPr>
          <w:p w14:paraId="200AC965" w14:textId="77777777" w:rsidR="002244D2" w:rsidRPr="002244D2" w:rsidRDefault="002244D2" w:rsidP="002244D2">
            <w:pPr>
              <w:spacing w:after="0" w:line="240" w:lineRule="auto"/>
              <w:rPr>
                <w:rFonts w:ascii="Arial" w:eastAsia="Times New Roman" w:hAnsi="Arial" w:cs="Arial"/>
                <w:lang w:eastAsia="en-GB"/>
              </w:rPr>
            </w:pPr>
          </w:p>
        </w:tc>
        <w:tc>
          <w:tcPr>
            <w:tcW w:w="2687" w:type="dxa"/>
          </w:tcPr>
          <w:p w14:paraId="58DCDFF6" w14:textId="77777777" w:rsidR="002244D2" w:rsidRPr="002244D2" w:rsidRDefault="002244D2" w:rsidP="002244D2">
            <w:pPr>
              <w:spacing w:after="0" w:line="240" w:lineRule="auto"/>
              <w:jc w:val="center"/>
              <w:rPr>
                <w:rFonts w:ascii="Arial" w:eastAsia="Times New Roman" w:hAnsi="Arial" w:cs="Arial"/>
                <w:lang w:eastAsia="en-GB"/>
              </w:rPr>
            </w:pPr>
          </w:p>
        </w:tc>
      </w:tr>
      <w:tr w:rsidR="002244D2" w:rsidRPr="002244D2" w14:paraId="4E9129D3" w14:textId="77777777" w:rsidTr="002244D2">
        <w:tc>
          <w:tcPr>
            <w:tcW w:w="1101" w:type="dxa"/>
          </w:tcPr>
          <w:p w14:paraId="16BAD9A4" w14:textId="77777777" w:rsidR="002244D2" w:rsidRPr="002244D2" w:rsidRDefault="002244D2" w:rsidP="002244D2">
            <w:pPr>
              <w:spacing w:after="0" w:line="240" w:lineRule="auto"/>
              <w:jc w:val="center"/>
              <w:rPr>
                <w:rFonts w:ascii="Arial" w:eastAsia="Times New Roman" w:hAnsi="Arial" w:cs="Arial"/>
                <w:lang w:eastAsia="en-GB"/>
              </w:rPr>
            </w:pPr>
          </w:p>
        </w:tc>
        <w:tc>
          <w:tcPr>
            <w:tcW w:w="6413" w:type="dxa"/>
          </w:tcPr>
          <w:p w14:paraId="193C286B" w14:textId="77777777" w:rsidR="002244D2" w:rsidRPr="002244D2" w:rsidRDefault="002244D2" w:rsidP="002244D2">
            <w:pPr>
              <w:spacing w:after="0" w:line="240" w:lineRule="auto"/>
              <w:rPr>
                <w:rFonts w:ascii="Arial" w:eastAsia="Times New Roman" w:hAnsi="Arial" w:cs="Arial"/>
                <w:lang w:eastAsia="en-GB"/>
              </w:rPr>
            </w:pPr>
          </w:p>
        </w:tc>
        <w:tc>
          <w:tcPr>
            <w:tcW w:w="2687" w:type="dxa"/>
          </w:tcPr>
          <w:p w14:paraId="33E7616C" w14:textId="77777777" w:rsidR="002244D2" w:rsidRPr="002244D2" w:rsidRDefault="002244D2" w:rsidP="002244D2">
            <w:pPr>
              <w:spacing w:after="0" w:line="240" w:lineRule="auto"/>
              <w:jc w:val="center"/>
              <w:rPr>
                <w:rFonts w:ascii="Arial" w:eastAsia="Times New Roman" w:hAnsi="Arial" w:cs="Arial"/>
                <w:lang w:eastAsia="en-GB"/>
              </w:rPr>
            </w:pPr>
          </w:p>
        </w:tc>
      </w:tr>
    </w:tbl>
    <w:p w14:paraId="31FE6955" w14:textId="77777777" w:rsidR="0029744C" w:rsidRDefault="0029744C" w:rsidP="00B16CEA">
      <w:pPr>
        <w:spacing w:after="0" w:line="240" w:lineRule="auto"/>
        <w:rPr>
          <w:rFonts w:ascii="Arial" w:hAnsi="Arial" w:cs="Arial"/>
          <w:b/>
          <w:sz w:val="24"/>
          <w:szCs w:val="24"/>
        </w:rPr>
      </w:pPr>
    </w:p>
    <w:p w14:paraId="081BA804" w14:textId="77777777" w:rsidR="00FB01AF" w:rsidRDefault="00FB01AF" w:rsidP="00B16CEA">
      <w:pPr>
        <w:spacing w:after="0" w:line="240" w:lineRule="auto"/>
        <w:rPr>
          <w:rFonts w:ascii="Arial" w:hAnsi="Arial" w:cs="Arial"/>
          <w:b/>
          <w:sz w:val="24"/>
          <w:szCs w:val="24"/>
        </w:rPr>
      </w:pPr>
    </w:p>
    <w:p w14:paraId="28095588" w14:textId="77777777" w:rsidR="00FB01AF" w:rsidRDefault="00FB01AF" w:rsidP="00B16CEA">
      <w:pPr>
        <w:spacing w:after="0" w:line="240" w:lineRule="auto"/>
        <w:rPr>
          <w:rFonts w:ascii="Arial" w:hAnsi="Arial" w:cs="Arial"/>
          <w:b/>
          <w:sz w:val="24"/>
          <w:szCs w:val="24"/>
        </w:rPr>
      </w:pPr>
    </w:p>
    <w:p w14:paraId="0922FF1A" w14:textId="77777777" w:rsidR="00FB01AF" w:rsidRDefault="00FB01AF" w:rsidP="00B16CEA">
      <w:pPr>
        <w:spacing w:after="0" w:line="240" w:lineRule="auto"/>
        <w:rPr>
          <w:rFonts w:ascii="Arial" w:hAnsi="Arial" w:cs="Arial"/>
          <w:b/>
          <w:sz w:val="24"/>
          <w:szCs w:val="24"/>
        </w:rPr>
      </w:pPr>
    </w:p>
    <w:p w14:paraId="1EA140DE" w14:textId="77777777" w:rsidR="002244D2" w:rsidRDefault="002244D2" w:rsidP="00B16CEA">
      <w:pPr>
        <w:spacing w:after="0" w:line="240" w:lineRule="auto"/>
        <w:rPr>
          <w:rFonts w:ascii="Arial" w:hAnsi="Arial" w:cs="Arial"/>
          <w:b/>
          <w:sz w:val="24"/>
          <w:szCs w:val="24"/>
        </w:rPr>
      </w:pPr>
    </w:p>
    <w:p w14:paraId="2B4255DF" w14:textId="77777777" w:rsidR="002244D2" w:rsidRPr="002244D2" w:rsidRDefault="002244D2" w:rsidP="002244D2">
      <w:pPr>
        <w:spacing w:before="200" w:line="240" w:lineRule="auto"/>
        <w:jc w:val="both"/>
        <w:rPr>
          <w:rFonts w:ascii="Arial" w:eastAsia="Times New Roman" w:hAnsi="Arial" w:cs="Times New Roman"/>
          <w:color w:val="FF0000"/>
          <w:szCs w:val="24"/>
          <w:lang w:eastAsia="en-GB"/>
        </w:rPr>
      </w:pPr>
      <w:r w:rsidRPr="002244D2">
        <w:rPr>
          <w:rFonts w:ascii="Arial" w:eastAsia="Times New Roman" w:hAnsi="Arial" w:cs="Arial"/>
          <w:b/>
          <w:color w:val="000000"/>
          <w:lang w:eastAsia="en-GB"/>
        </w:rPr>
        <w:t>The on-line version is the only version that is maintained and valid.  If this document has been printed or saved to another location, the reader must check that the version number matches that of the on-line version.</w:t>
      </w:r>
    </w:p>
    <w:p w14:paraId="2AE521F5" w14:textId="77777777" w:rsidR="00FB01AF" w:rsidRDefault="00FB01AF" w:rsidP="00B16CEA">
      <w:pPr>
        <w:spacing w:after="0" w:line="240" w:lineRule="auto"/>
        <w:rPr>
          <w:rFonts w:ascii="Arial" w:hAnsi="Arial" w:cs="Arial"/>
          <w:b/>
          <w:sz w:val="24"/>
          <w:szCs w:val="24"/>
        </w:rPr>
      </w:pPr>
    </w:p>
    <w:p w14:paraId="33547498" w14:textId="77777777" w:rsidR="00FB01AF" w:rsidRDefault="00FB01AF" w:rsidP="00B16CEA">
      <w:pPr>
        <w:spacing w:after="0" w:line="240" w:lineRule="auto"/>
        <w:rPr>
          <w:rFonts w:ascii="Arial" w:hAnsi="Arial" w:cs="Arial"/>
          <w:b/>
          <w:sz w:val="24"/>
          <w:szCs w:val="24"/>
        </w:rPr>
      </w:pPr>
    </w:p>
    <w:p w14:paraId="4A09B4B9" w14:textId="77777777" w:rsidR="00FB01AF" w:rsidRDefault="00FB01AF" w:rsidP="00B16CEA">
      <w:pPr>
        <w:spacing w:after="0" w:line="240" w:lineRule="auto"/>
        <w:rPr>
          <w:rFonts w:ascii="Arial" w:hAnsi="Arial" w:cs="Arial"/>
          <w:b/>
          <w:sz w:val="24"/>
          <w:szCs w:val="24"/>
        </w:rPr>
      </w:pPr>
    </w:p>
    <w:p w14:paraId="7166FE50" w14:textId="77777777" w:rsidR="009F2DE1" w:rsidRDefault="009F2DE1" w:rsidP="00B16CEA">
      <w:pPr>
        <w:spacing w:after="0" w:line="240" w:lineRule="auto"/>
        <w:rPr>
          <w:rFonts w:ascii="Arial" w:hAnsi="Arial" w:cs="Arial"/>
          <w:b/>
          <w:sz w:val="24"/>
          <w:szCs w:val="24"/>
        </w:rPr>
      </w:pPr>
    </w:p>
    <w:p w14:paraId="17372C7D" w14:textId="77777777" w:rsidR="009F2DE1" w:rsidRDefault="009F2DE1" w:rsidP="00B16CEA">
      <w:pPr>
        <w:spacing w:after="0" w:line="240" w:lineRule="auto"/>
        <w:rPr>
          <w:rFonts w:ascii="Arial" w:hAnsi="Arial" w:cs="Arial"/>
          <w:b/>
          <w:sz w:val="24"/>
          <w:szCs w:val="24"/>
        </w:rPr>
      </w:pPr>
    </w:p>
    <w:p w14:paraId="3AB280C4" w14:textId="77777777" w:rsidR="009F2DE1" w:rsidRDefault="009F2DE1" w:rsidP="00B16CEA">
      <w:pPr>
        <w:spacing w:after="0" w:line="240" w:lineRule="auto"/>
        <w:rPr>
          <w:rFonts w:ascii="Arial" w:hAnsi="Arial" w:cs="Arial"/>
          <w:b/>
          <w:sz w:val="24"/>
          <w:szCs w:val="24"/>
        </w:rPr>
      </w:pPr>
    </w:p>
    <w:p w14:paraId="6D02B25F" w14:textId="77777777" w:rsidR="00FB01AF" w:rsidRDefault="00FB01AF" w:rsidP="00B16CEA">
      <w:pPr>
        <w:spacing w:after="0" w:line="240" w:lineRule="auto"/>
        <w:rPr>
          <w:rFonts w:ascii="Arial" w:hAnsi="Arial" w:cs="Arial"/>
          <w:b/>
          <w:sz w:val="24"/>
          <w:szCs w:val="24"/>
        </w:rPr>
      </w:pPr>
    </w:p>
    <w:p w14:paraId="1B81D82E" w14:textId="77777777" w:rsidR="00FB01AF" w:rsidRDefault="00FB01AF" w:rsidP="00B16CEA">
      <w:pPr>
        <w:spacing w:after="0" w:line="240" w:lineRule="auto"/>
        <w:rPr>
          <w:rFonts w:ascii="Arial" w:hAnsi="Arial" w:cs="Arial"/>
          <w:b/>
          <w:sz w:val="24"/>
          <w:szCs w:val="24"/>
        </w:rPr>
      </w:pPr>
    </w:p>
    <w:p w14:paraId="5F4F2551" w14:textId="77777777" w:rsidR="00FF0B96" w:rsidRDefault="00FF0B96" w:rsidP="00FF0B96">
      <w:pPr>
        <w:spacing w:after="0" w:line="240" w:lineRule="auto"/>
        <w:rPr>
          <w:rFonts w:ascii="Arial" w:hAnsi="Arial" w:cs="Arial"/>
          <w:b/>
          <w:sz w:val="24"/>
          <w:szCs w:val="24"/>
        </w:rPr>
      </w:pPr>
      <w:r>
        <w:rPr>
          <w:rFonts w:ascii="Arial" w:hAnsi="Arial" w:cs="Arial"/>
          <w:b/>
          <w:sz w:val="24"/>
          <w:szCs w:val="24"/>
        </w:rPr>
        <w:t>Table of Contents</w:t>
      </w:r>
    </w:p>
    <w:tbl>
      <w:tblPr>
        <w:tblStyle w:val="TableGrid"/>
        <w:tblpPr w:leftFromText="180" w:rightFromText="180" w:vertAnchor="page" w:horzAnchor="margin" w:tblpY="2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520"/>
        <w:gridCol w:w="1621"/>
      </w:tblGrid>
      <w:tr w:rsidR="00FF0B96" w:rsidRPr="00202467" w14:paraId="2A93F3D0" w14:textId="77777777" w:rsidTr="00E52952">
        <w:tc>
          <w:tcPr>
            <w:tcW w:w="1101" w:type="dxa"/>
          </w:tcPr>
          <w:p w14:paraId="7A576EA3" w14:textId="77777777" w:rsidR="00FF0B96" w:rsidRPr="00202467" w:rsidRDefault="00FF0B96" w:rsidP="00E52952">
            <w:pPr>
              <w:jc w:val="center"/>
              <w:rPr>
                <w:rFonts w:ascii="Arial" w:hAnsi="Arial" w:cs="Arial"/>
              </w:rPr>
            </w:pPr>
          </w:p>
        </w:tc>
        <w:tc>
          <w:tcPr>
            <w:tcW w:w="6520" w:type="dxa"/>
          </w:tcPr>
          <w:p w14:paraId="073C57BB" w14:textId="77777777" w:rsidR="00FF0B96" w:rsidRPr="00202467" w:rsidRDefault="00FF0B96" w:rsidP="00E52952">
            <w:pPr>
              <w:rPr>
                <w:rFonts w:ascii="Arial" w:hAnsi="Arial" w:cs="Arial"/>
              </w:rPr>
            </w:pPr>
          </w:p>
        </w:tc>
        <w:tc>
          <w:tcPr>
            <w:tcW w:w="1621" w:type="dxa"/>
          </w:tcPr>
          <w:p w14:paraId="30FE65CB" w14:textId="77777777" w:rsidR="00FF0B96" w:rsidRPr="00202467" w:rsidRDefault="00FF0B96" w:rsidP="00E52952">
            <w:pPr>
              <w:jc w:val="center"/>
              <w:rPr>
                <w:rFonts w:ascii="Arial" w:hAnsi="Arial" w:cs="Arial"/>
              </w:rPr>
            </w:pPr>
          </w:p>
        </w:tc>
      </w:tr>
      <w:tr w:rsidR="00FF0B96" w:rsidRPr="00202467" w14:paraId="23D7D895" w14:textId="77777777" w:rsidTr="00E52952">
        <w:tc>
          <w:tcPr>
            <w:tcW w:w="1101" w:type="dxa"/>
          </w:tcPr>
          <w:p w14:paraId="08FD4EF4" w14:textId="77777777" w:rsidR="00FF0B96" w:rsidRPr="00202467" w:rsidRDefault="00FF0B96" w:rsidP="00E52952">
            <w:pPr>
              <w:jc w:val="center"/>
              <w:rPr>
                <w:rFonts w:ascii="Arial" w:hAnsi="Arial" w:cs="Arial"/>
              </w:rPr>
            </w:pPr>
          </w:p>
        </w:tc>
        <w:tc>
          <w:tcPr>
            <w:tcW w:w="6520" w:type="dxa"/>
          </w:tcPr>
          <w:p w14:paraId="78CA98B1" w14:textId="77777777" w:rsidR="00FF0B96" w:rsidRPr="00202467" w:rsidRDefault="00FF0B96" w:rsidP="00E52952">
            <w:pPr>
              <w:rPr>
                <w:rFonts w:ascii="Arial" w:hAnsi="Arial" w:cs="Arial"/>
              </w:rPr>
            </w:pPr>
          </w:p>
        </w:tc>
        <w:tc>
          <w:tcPr>
            <w:tcW w:w="1621" w:type="dxa"/>
          </w:tcPr>
          <w:p w14:paraId="0F50A508" w14:textId="77777777" w:rsidR="00FF0B96" w:rsidRPr="00202467" w:rsidRDefault="00FF0B96" w:rsidP="00E52952">
            <w:pPr>
              <w:jc w:val="center"/>
              <w:rPr>
                <w:rFonts w:ascii="Arial" w:hAnsi="Arial" w:cs="Arial"/>
              </w:rPr>
            </w:pPr>
          </w:p>
        </w:tc>
      </w:tr>
      <w:tr w:rsidR="00FF0B96" w:rsidRPr="00202467" w14:paraId="7281099B" w14:textId="77777777" w:rsidTr="00E52952">
        <w:tc>
          <w:tcPr>
            <w:tcW w:w="1101" w:type="dxa"/>
          </w:tcPr>
          <w:p w14:paraId="2A9C9A35" w14:textId="77777777" w:rsidR="00FF0B96" w:rsidRPr="00202467" w:rsidRDefault="00FF0B96" w:rsidP="00E52952">
            <w:pPr>
              <w:jc w:val="center"/>
              <w:rPr>
                <w:rFonts w:ascii="Arial" w:hAnsi="Arial" w:cs="Arial"/>
              </w:rPr>
            </w:pPr>
          </w:p>
        </w:tc>
        <w:tc>
          <w:tcPr>
            <w:tcW w:w="6520" w:type="dxa"/>
          </w:tcPr>
          <w:p w14:paraId="54D4A112" w14:textId="77777777" w:rsidR="00FF0B96" w:rsidRPr="00202467" w:rsidRDefault="00FF0B96" w:rsidP="00E52952">
            <w:pPr>
              <w:rPr>
                <w:rFonts w:ascii="Arial" w:hAnsi="Arial" w:cs="Arial"/>
              </w:rPr>
            </w:pPr>
          </w:p>
        </w:tc>
        <w:tc>
          <w:tcPr>
            <w:tcW w:w="1621" w:type="dxa"/>
          </w:tcPr>
          <w:p w14:paraId="7C3403C1" w14:textId="77777777" w:rsidR="00FF0B96" w:rsidRPr="00202467" w:rsidRDefault="00FF0B96" w:rsidP="00E52952">
            <w:pPr>
              <w:jc w:val="center"/>
              <w:rPr>
                <w:rFonts w:ascii="Arial" w:hAnsi="Arial" w:cs="Arial"/>
              </w:rPr>
            </w:pPr>
          </w:p>
        </w:tc>
      </w:tr>
      <w:tr w:rsidR="00FF0B96" w:rsidRPr="00202467" w14:paraId="4CF6FFEA" w14:textId="77777777" w:rsidTr="00E52952">
        <w:tc>
          <w:tcPr>
            <w:tcW w:w="1101" w:type="dxa"/>
          </w:tcPr>
          <w:p w14:paraId="5B5A814F" w14:textId="77777777" w:rsidR="00FF0B96" w:rsidRPr="00202467" w:rsidRDefault="00FF0B96" w:rsidP="00E52952">
            <w:pPr>
              <w:jc w:val="center"/>
              <w:rPr>
                <w:rFonts w:ascii="Arial" w:hAnsi="Arial" w:cs="Arial"/>
              </w:rPr>
            </w:pPr>
          </w:p>
        </w:tc>
        <w:tc>
          <w:tcPr>
            <w:tcW w:w="6520" w:type="dxa"/>
          </w:tcPr>
          <w:p w14:paraId="3A1F933C" w14:textId="77777777" w:rsidR="00FF0B96" w:rsidRPr="00202467" w:rsidRDefault="00FF0B96" w:rsidP="00E52952">
            <w:pPr>
              <w:rPr>
                <w:rFonts w:ascii="Arial" w:hAnsi="Arial" w:cs="Arial"/>
              </w:rPr>
            </w:pPr>
          </w:p>
        </w:tc>
        <w:tc>
          <w:tcPr>
            <w:tcW w:w="1621" w:type="dxa"/>
          </w:tcPr>
          <w:p w14:paraId="68602EF9" w14:textId="77777777" w:rsidR="00FF0B96" w:rsidRPr="00202467" w:rsidRDefault="00FF0B96" w:rsidP="00E52952">
            <w:pPr>
              <w:jc w:val="center"/>
              <w:rPr>
                <w:rFonts w:ascii="Arial" w:hAnsi="Arial" w:cs="Arial"/>
              </w:rPr>
            </w:pPr>
          </w:p>
        </w:tc>
      </w:tr>
      <w:tr w:rsidR="00FF0B96" w:rsidRPr="00202467" w14:paraId="06C30677" w14:textId="77777777" w:rsidTr="00E52952">
        <w:tc>
          <w:tcPr>
            <w:tcW w:w="1101" w:type="dxa"/>
          </w:tcPr>
          <w:p w14:paraId="3AC49EB5" w14:textId="77777777" w:rsidR="00FF0B96" w:rsidRPr="00202467" w:rsidRDefault="00FF0B96" w:rsidP="00E52952">
            <w:pPr>
              <w:jc w:val="center"/>
              <w:rPr>
                <w:rFonts w:ascii="Arial" w:hAnsi="Arial" w:cs="Arial"/>
              </w:rPr>
            </w:pPr>
          </w:p>
        </w:tc>
        <w:tc>
          <w:tcPr>
            <w:tcW w:w="6520" w:type="dxa"/>
          </w:tcPr>
          <w:p w14:paraId="24095268" w14:textId="77777777" w:rsidR="00FF0B96" w:rsidRPr="00202467" w:rsidRDefault="00FF0B96" w:rsidP="00E52952">
            <w:pPr>
              <w:rPr>
                <w:rFonts w:ascii="Arial" w:hAnsi="Arial" w:cs="Arial"/>
              </w:rPr>
            </w:pPr>
          </w:p>
        </w:tc>
        <w:tc>
          <w:tcPr>
            <w:tcW w:w="1621" w:type="dxa"/>
          </w:tcPr>
          <w:p w14:paraId="14AB32A8" w14:textId="77777777" w:rsidR="00FF0B96" w:rsidRPr="00202467" w:rsidRDefault="00FF0B96" w:rsidP="00E52952">
            <w:pPr>
              <w:jc w:val="center"/>
              <w:rPr>
                <w:rFonts w:ascii="Arial" w:hAnsi="Arial" w:cs="Arial"/>
              </w:rPr>
            </w:pPr>
          </w:p>
        </w:tc>
      </w:tr>
      <w:tr w:rsidR="00FF0B96" w:rsidRPr="00202467" w14:paraId="7A1CD9E8" w14:textId="77777777" w:rsidTr="00E52952">
        <w:tc>
          <w:tcPr>
            <w:tcW w:w="1101" w:type="dxa"/>
          </w:tcPr>
          <w:p w14:paraId="02DBB5E3" w14:textId="77777777" w:rsidR="00FF0B96" w:rsidRPr="00202467" w:rsidRDefault="00FF0B96" w:rsidP="00E52952">
            <w:pPr>
              <w:jc w:val="center"/>
              <w:rPr>
                <w:rFonts w:ascii="Arial" w:hAnsi="Arial" w:cs="Arial"/>
              </w:rPr>
            </w:pPr>
          </w:p>
        </w:tc>
        <w:tc>
          <w:tcPr>
            <w:tcW w:w="6520" w:type="dxa"/>
          </w:tcPr>
          <w:p w14:paraId="41DD70D9" w14:textId="77777777" w:rsidR="00FF0B96" w:rsidRPr="00202467" w:rsidRDefault="00FF0B96" w:rsidP="00E52952">
            <w:pPr>
              <w:rPr>
                <w:rFonts w:ascii="Arial" w:hAnsi="Arial" w:cs="Arial"/>
              </w:rPr>
            </w:pPr>
          </w:p>
        </w:tc>
        <w:tc>
          <w:tcPr>
            <w:tcW w:w="1621" w:type="dxa"/>
          </w:tcPr>
          <w:p w14:paraId="673F1531" w14:textId="77777777" w:rsidR="00FF0B96" w:rsidRPr="00202467" w:rsidRDefault="00FF0B96" w:rsidP="00E52952">
            <w:pPr>
              <w:jc w:val="center"/>
              <w:rPr>
                <w:rFonts w:ascii="Arial" w:hAnsi="Arial" w:cs="Arial"/>
              </w:rPr>
            </w:pPr>
          </w:p>
        </w:tc>
      </w:tr>
      <w:tr w:rsidR="00FF0B96" w:rsidRPr="00202467" w14:paraId="62544745" w14:textId="77777777" w:rsidTr="00E52952">
        <w:tc>
          <w:tcPr>
            <w:tcW w:w="1101" w:type="dxa"/>
          </w:tcPr>
          <w:p w14:paraId="3FE082B5" w14:textId="77777777" w:rsidR="00FF0B96" w:rsidRPr="00202467" w:rsidRDefault="00FF0B96" w:rsidP="00E52952">
            <w:pPr>
              <w:jc w:val="center"/>
              <w:rPr>
                <w:rFonts w:ascii="Arial" w:hAnsi="Arial" w:cs="Arial"/>
              </w:rPr>
            </w:pPr>
          </w:p>
        </w:tc>
        <w:tc>
          <w:tcPr>
            <w:tcW w:w="6520" w:type="dxa"/>
          </w:tcPr>
          <w:p w14:paraId="2303231C" w14:textId="77777777" w:rsidR="00FF0B96" w:rsidRPr="00202467" w:rsidRDefault="00FF0B96" w:rsidP="00E52952">
            <w:pPr>
              <w:rPr>
                <w:rFonts w:ascii="Arial" w:hAnsi="Arial" w:cs="Arial"/>
              </w:rPr>
            </w:pPr>
          </w:p>
        </w:tc>
        <w:tc>
          <w:tcPr>
            <w:tcW w:w="1621" w:type="dxa"/>
          </w:tcPr>
          <w:p w14:paraId="4A66BC58" w14:textId="77777777" w:rsidR="00FF0B96" w:rsidRPr="00202467" w:rsidRDefault="00FF0B96" w:rsidP="00E52952">
            <w:pPr>
              <w:jc w:val="center"/>
              <w:rPr>
                <w:rFonts w:ascii="Arial" w:hAnsi="Arial" w:cs="Arial"/>
              </w:rPr>
            </w:pPr>
          </w:p>
        </w:tc>
      </w:tr>
      <w:tr w:rsidR="00FF0B96" w:rsidRPr="00202467" w14:paraId="5931701C" w14:textId="77777777" w:rsidTr="00E52952">
        <w:tc>
          <w:tcPr>
            <w:tcW w:w="1101" w:type="dxa"/>
          </w:tcPr>
          <w:p w14:paraId="563F10F6" w14:textId="77777777" w:rsidR="00FF0B96" w:rsidRPr="00202467" w:rsidRDefault="00FF0B96" w:rsidP="00E52952">
            <w:pPr>
              <w:jc w:val="center"/>
              <w:rPr>
                <w:rFonts w:ascii="Arial" w:hAnsi="Arial" w:cs="Arial"/>
              </w:rPr>
            </w:pPr>
          </w:p>
        </w:tc>
        <w:tc>
          <w:tcPr>
            <w:tcW w:w="6520" w:type="dxa"/>
          </w:tcPr>
          <w:p w14:paraId="4C7A809D" w14:textId="77777777" w:rsidR="00FF0B96" w:rsidRPr="00202467" w:rsidRDefault="00FF0B96" w:rsidP="00E52952">
            <w:pPr>
              <w:rPr>
                <w:rFonts w:ascii="Arial" w:hAnsi="Arial" w:cs="Arial"/>
              </w:rPr>
            </w:pPr>
          </w:p>
        </w:tc>
        <w:tc>
          <w:tcPr>
            <w:tcW w:w="1621" w:type="dxa"/>
          </w:tcPr>
          <w:p w14:paraId="12A4D94F" w14:textId="77777777" w:rsidR="00FF0B96" w:rsidRPr="00202467" w:rsidRDefault="00FF0B96" w:rsidP="00E52952">
            <w:pPr>
              <w:jc w:val="center"/>
              <w:rPr>
                <w:rFonts w:ascii="Arial" w:hAnsi="Arial" w:cs="Arial"/>
              </w:rPr>
            </w:pPr>
          </w:p>
        </w:tc>
      </w:tr>
      <w:tr w:rsidR="00FF0B96" w:rsidRPr="00202467" w14:paraId="5D0C3ED4" w14:textId="77777777" w:rsidTr="00E52952">
        <w:tc>
          <w:tcPr>
            <w:tcW w:w="1101" w:type="dxa"/>
          </w:tcPr>
          <w:p w14:paraId="58A6B5CA" w14:textId="77777777" w:rsidR="00FF0B96" w:rsidRPr="00202467" w:rsidRDefault="00FF0B96" w:rsidP="00E52952">
            <w:pPr>
              <w:jc w:val="center"/>
              <w:rPr>
                <w:rFonts w:ascii="Arial" w:hAnsi="Arial" w:cs="Arial"/>
              </w:rPr>
            </w:pPr>
          </w:p>
        </w:tc>
        <w:tc>
          <w:tcPr>
            <w:tcW w:w="6520" w:type="dxa"/>
          </w:tcPr>
          <w:p w14:paraId="0E98FB80" w14:textId="77777777" w:rsidR="00FF0B96" w:rsidRPr="00202467" w:rsidRDefault="00FF0B96" w:rsidP="00E52952">
            <w:pPr>
              <w:rPr>
                <w:rFonts w:ascii="Arial" w:hAnsi="Arial" w:cs="Arial"/>
              </w:rPr>
            </w:pPr>
          </w:p>
        </w:tc>
        <w:tc>
          <w:tcPr>
            <w:tcW w:w="1621" w:type="dxa"/>
          </w:tcPr>
          <w:p w14:paraId="1DF50D4F" w14:textId="77777777" w:rsidR="00FF0B96" w:rsidRPr="00202467" w:rsidRDefault="00FF0B96" w:rsidP="00E52952">
            <w:pPr>
              <w:jc w:val="center"/>
              <w:rPr>
                <w:rFonts w:ascii="Arial" w:hAnsi="Arial" w:cs="Arial"/>
              </w:rPr>
            </w:pPr>
          </w:p>
        </w:tc>
      </w:tr>
      <w:tr w:rsidR="00FF0B96" w:rsidRPr="00202467" w14:paraId="3A0D762F" w14:textId="77777777" w:rsidTr="00E52952">
        <w:tc>
          <w:tcPr>
            <w:tcW w:w="1101" w:type="dxa"/>
          </w:tcPr>
          <w:p w14:paraId="39D32E85" w14:textId="77777777" w:rsidR="00FF0B96" w:rsidRPr="00202467" w:rsidRDefault="00FF0B96" w:rsidP="00E52952">
            <w:pPr>
              <w:jc w:val="center"/>
              <w:rPr>
                <w:rFonts w:ascii="Arial" w:hAnsi="Arial" w:cs="Arial"/>
              </w:rPr>
            </w:pPr>
          </w:p>
        </w:tc>
        <w:tc>
          <w:tcPr>
            <w:tcW w:w="6520" w:type="dxa"/>
          </w:tcPr>
          <w:p w14:paraId="75AC868B" w14:textId="77777777" w:rsidR="00FF0B96" w:rsidRPr="00202467" w:rsidRDefault="00FF0B96" w:rsidP="00E52952">
            <w:pPr>
              <w:rPr>
                <w:rFonts w:ascii="Arial" w:hAnsi="Arial" w:cs="Arial"/>
              </w:rPr>
            </w:pPr>
          </w:p>
        </w:tc>
        <w:tc>
          <w:tcPr>
            <w:tcW w:w="1621" w:type="dxa"/>
          </w:tcPr>
          <w:p w14:paraId="76B287B7" w14:textId="77777777" w:rsidR="00FF0B96" w:rsidRPr="00202467" w:rsidRDefault="00FF0B96" w:rsidP="00E52952">
            <w:pPr>
              <w:jc w:val="center"/>
              <w:rPr>
                <w:rFonts w:ascii="Arial" w:hAnsi="Arial" w:cs="Arial"/>
              </w:rPr>
            </w:pPr>
          </w:p>
        </w:tc>
      </w:tr>
      <w:tr w:rsidR="00FF0B96" w:rsidRPr="00202467" w14:paraId="2495EA78" w14:textId="77777777" w:rsidTr="00E52952">
        <w:tc>
          <w:tcPr>
            <w:tcW w:w="1101" w:type="dxa"/>
          </w:tcPr>
          <w:p w14:paraId="317BC8E9" w14:textId="77777777" w:rsidR="00FF0B96" w:rsidRPr="00202467" w:rsidRDefault="00FF0B96" w:rsidP="00E52952">
            <w:pPr>
              <w:jc w:val="center"/>
              <w:rPr>
                <w:rFonts w:ascii="Arial" w:hAnsi="Arial" w:cs="Arial"/>
              </w:rPr>
            </w:pPr>
          </w:p>
        </w:tc>
        <w:tc>
          <w:tcPr>
            <w:tcW w:w="6520" w:type="dxa"/>
          </w:tcPr>
          <w:p w14:paraId="74D75255" w14:textId="77777777" w:rsidR="00FF0B96" w:rsidRPr="00202467" w:rsidRDefault="00FF0B96" w:rsidP="00E52952">
            <w:pPr>
              <w:rPr>
                <w:rFonts w:ascii="Arial" w:hAnsi="Arial" w:cs="Arial"/>
              </w:rPr>
            </w:pPr>
          </w:p>
        </w:tc>
        <w:tc>
          <w:tcPr>
            <w:tcW w:w="1621" w:type="dxa"/>
          </w:tcPr>
          <w:p w14:paraId="037E6FDC" w14:textId="77777777" w:rsidR="00FF0B96" w:rsidRPr="00202467" w:rsidRDefault="00FF0B96" w:rsidP="00E52952">
            <w:pPr>
              <w:jc w:val="center"/>
              <w:rPr>
                <w:rFonts w:ascii="Arial" w:hAnsi="Arial" w:cs="Arial"/>
              </w:rPr>
            </w:pPr>
          </w:p>
        </w:tc>
      </w:tr>
      <w:tr w:rsidR="00FF0B96" w:rsidRPr="00202467" w14:paraId="04C441D3" w14:textId="77777777" w:rsidTr="00E52952">
        <w:tc>
          <w:tcPr>
            <w:tcW w:w="1101" w:type="dxa"/>
          </w:tcPr>
          <w:p w14:paraId="2650C321" w14:textId="77777777" w:rsidR="00FF0B96" w:rsidRPr="00202467" w:rsidRDefault="00FF0B96" w:rsidP="00E52952">
            <w:pPr>
              <w:jc w:val="center"/>
              <w:rPr>
                <w:rFonts w:ascii="Arial" w:hAnsi="Arial" w:cs="Arial"/>
              </w:rPr>
            </w:pPr>
          </w:p>
        </w:tc>
        <w:tc>
          <w:tcPr>
            <w:tcW w:w="6520" w:type="dxa"/>
          </w:tcPr>
          <w:p w14:paraId="035A920C" w14:textId="77777777" w:rsidR="00FF0B96" w:rsidRPr="00202467" w:rsidRDefault="00FF0B96" w:rsidP="00E52952">
            <w:pPr>
              <w:rPr>
                <w:rFonts w:ascii="Arial" w:hAnsi="Arial" w:cs="Arial"/>
              </w:rPr>
            </w:pPr>
          </w:p>
        </w:tc>
        <w:tc>
          <w:tcPr>
            <w:tcW w:w="1621" w:type="dxa"/>
          </w:tcPr>
          <w:p w14:paraId="44A18DA8" w14:textId="77777777" w:rsidR="00FF0B96" w:rsidRPr="00202467" w:rsidRDefault="00FF0B96" w:rsidP="00E52952">
            <w:pPr>
              <w:jc w:val="center"/>
              <w:rPr>
                <w:rFonts w:ascii="Arial" w:hAnsi="Arial" w:cs="Arial"/>
              </w:rPr>
            </w:pPr>
          </w:p>
        </w:tc>
      </w:tr>
      <w:tr w:rsidR="00FF0B96" w:rsidRPr="00202467" w14:paraId="79F7EC38" w14:textId="77777777" w:rsidTr="00E52952">
        <w:tc>
          <w:tcPr>
            <w:tcW w:w="1101" w:type="dxa"/>
          </w:tcPr>
          <w:p w14:paraId="781DDC51" w14:textId="77777777" w:rsidR="00FF0B96" w:rsidRPr="00202467" w:rsidRDefault="00FF0B96" w:rsidP="00E52952">
            <w:pPr>
              <w:jc w:val="center"/>
              <w:rPr>
                <w:rFonts w:ascii="Arial" w:hAnsi="Arial" w:cs="Arial"/>
              </w:rPr>
            </w:pPr>
          </w:p>
        </w:tc>
        <w:tc>
          <w:tcPr>
            <w:tcW w:w="6520" w:type="dxa"/>
          </w:tcPr>
          <w:p w14:paraId="2C9A171F" w14:textId="77777777" w:rsidR="00FF0B96" w:rsidRPr="00202467" w:rsidRDefault="00FF0B96" w:rsidP="00E52952">
            <w:pPr>
              <w:rPr>
                <w:rFonts w:ascii="Arial" w:hAnsi="Arial" w:cs="Arial"/>
              </w:rPr>
            </w:pPr>
          </w:p>
        </w:tc>
        <w:tc>
          <w:tcPr>
            <w:tcW w:w="1621" w:type="dxa"/>
          </w:tcPr>
          <w:p w14:paraId="2E75D84E" w14:textId="77777777" w:rsidR="00FF0B96" w:rsidRPr="00202467" w:rsidRDefault="00FF0B96" w:rsidP="00E52952">
            <w:pPr>
              <w:jc w:val="center"/>
              <w:rPr>
                <w:rFonts w:ascii="Arial" w:hAnsi="Arial" w:cs="Arial"/>
              </w:rPr>
            </w:pPr>
          </w:p>
        </w:tc>
      </w:tr>
      <w:tr w:rsidR="00FF0B96" w:rsidRPr="00202467" w14:paraId="68FE1B35" w14:textId="77777777" w:rsidTr="00E52952">
        <w:tc>
          <w:tcPr>
            <w:tcW w:w="1101" w:type="dxa"/>
          </w:tcPr>
          <w:p w14:paraId="372E0FEA" w14:textId="77777777" w:rsidR="00FF0B96" w:rsidRPr="00202467" w:rsidRDefault="00FF0B96" w:rsidP="00E52952">
            <w:pPr>
              <w:jc w:val="center"/>
              <w:rPr>
                <w:rFonts w:ascii="Arial" w:hAnsi="Arial" w:cs="Arial"/>
              </w:rPr>
            </w:pPr>
          </w:p>
        </w:tc>
        <w:tc>
          <w:tcPr>
            <w:tcW w:w="6520" w:type="dxa"/>
          </w:tcPr>
          <w:p w14:paraId="7D254950" w14:textId="77777777" w:rsidR="00FF0B96" w:rsidRPr="00202467" w:rsidRDefault="00FF0B96" w:rsidP="00E52952">
            <w:pPr>
              <w:rPr>
                <w:rFonts w:ascii="Arial" w:hAnsi="Arial" w:cs="Arial"/>
              </w:rPr>
            </w:pPr>
          </w:p>
        </w:tc>
        <w:tc>
          <w:tcPr>
            <w:tcW w:w="1621" w:type="dxa"/>
          </w:tcPr>
          <w:p w14:paraId="1A7A82F1" w14:textId="77777777" w:rsidR="00FF0B96" w:rsidRPr="00202467" w:rsidRDefault="00FF0B96" w:rsidP="00E52952">
            <w:pPr>
              <w:jc w:val="center"/>
              <w:rPr>
                <w:rFonts w:ascii="Arial" w:hAnsi="Arial" w:cs="Arial"/>
              </w:rPr>
            </w:pPr>
          </w:p>
        </w:tc>
      </w:tr>
      <w:tr w:rsidR="00FF0B96" w:rsidRPr="00202467" w14:paraId="3243B7FD" w14:textId="77777777" w:rsidTr="00E52952">
        <w:tc>
          <w:tcPr>
            <w:tcW w:w="1101" w:type="dxa"/>
          </w:tcPr>
          <w:p w14:paraId="7766C147" w14:textId="77777777" w:rsidR="00FF0B96" w:rsidRPr="00202467" w:rsidRDefault="00FF0B96" w:rsidP="00E52952">
            <w:pPr>
              <w:jc w:val="center"/>
              <w:rPr>
                <w:rFonts w:ascii="Arial" w:hAnsi="Arial" w:cs="Arial"/>
              </w:rPr>
            </w:pPr>
          </w:p>
        </w:tc>
        <w:tc>
          <w:tcPr>
            <w:tcW w:w="6520" w:type="dxa"/>
          </w:tcPr>
          <w:p w14:paraId="3C11B8C1" w14:textId="77777777" w:rsidR="00FF0B96" w:rsidRPr="00202467" w:rsidRDefault="00FF0B96" w:rsidP="00E52952">
            <w:pPr>
              <w:rPr>
                <w:rFonts w:ascii="Arial" w:hAnsi="Arial" w:cs="Arial"/>
              </w:rPr>
            </w:pPr>
          </w:p>
        </w:tc>
        <w:tc>
          <w:tcPr>
            <w:tcW w:w="1621" w:type="dxa"/>
          </w:tcPr>
          <w:p w14:paraId="0EE9969D" w14:textId="77777777" w:rsidR="00FF0B96" w:rsidRPr="00202467" w:rsidRDefault="00FF0B96" w:rsidP="00E52952">
            <w:pPr>
              <w:jc w:val="center"/>
              <w:rPr>
                <w:rFonts w:ascii="Arial" w:hAnsi="Arial" w:cs="Arial"/>
              </w:rPr>
            </w:pPr>
          </w:p>
        </w:tc>
      </w:tr>
      <w:tr w:rsidR="00FF0B96" w:rsidRPr="00202467" w14:paraId="545A82CE" w14:textId="77777777" w:rsidTr="00E52952">
        <w:tc>
          <w:tcPr>
            <w:tcW w:w="1101" w:type="dxa"/>
          </w:tcPr>
          <w:p w14:paraId="6AF62C2A" w14:textId="77777777" w:rsidR="00FF0B96" w:rsidRPr="00202467" w:rsidRDefault="00FF0B96" w:rsidP="00E52952">
            <w:pPr>
              <w:jc w:val="center"/>
              <w:rPr>
                <w:rFonts w:ascii="Arial" w:hAnsi="Arial" w:cs="Arial"/>
              </w:rPr>
            </w:pPr>
          </w:p>
        </w:tc>
        <w:tc>
          <w:tcPr>
            <w:tcW w:w="6520" w:type="dxa"/>
          </w:tcPr>
          <w:p w14:paraId="01093D80" w14:textId="77777777" w:rsidR="00FF0B96" w:rsidRPr="00202467" w:rsidRDefault="00FF0B96" w:rsidP="00E52952">
            <w:pPr>
              <w:rPr>
                <w:rFonts w:ascii="Arial" w:hAnsi="Arial" w:cs="Arial"/>
              </w:rPr>
            </w:pPr>
          </w:p>
        </w:tc>
        <w:tc>
          <w:tcPr>
            <w:tcW w:w="1621" w:type="dxa"/>
          </w:tcPr>
          <w:p w14:paraId="5A88FCE3" w14:textId="77777777" w:rsidR="001F4CA4" w:rsidRPr="00202467" w:rsidRDefault="001F4CA4" w:rsidP="001F4CA4">
            <w:pPr>
              <w:ind w:left="-6912"/>
              <w:rPr>
                <w:rFonts w:ascii="Arial" w:hAnsi="Arial" w:cs="Arial"/>
              </w:rPr>
            </w:pPr>
          </w:p>
        </w:tc>
      </w:tr>
      <w:tr w:rsidR="00FF0B96" w:rsidRPr="00202467" w14:paraId="0FB98311" w14:textId="77777777" w:rsidTr="00E52952">
        <w:tc>
          <w:tcPr>
            <w:tcW w:w="1101" w:type="dxa"/>
          </w:tcPr>
          <w:p w14:paraId="2F59052F" w14:textId="77777777" w:rsidR="001F4CA4" w:rsidRPr="001F4CA4" w:rsidRDefault="001F4CA4" w:rsidP="001F4CA4">
            <w:pPr>
              <w:jc w:val="center"/>
              <w:rPr>
                <w:rFonts w:ascii="Arial" w:hAnsi="Arial" w:cs="Arial"/>
                <w:b/>
              </w:rPr>
            </w:pPr>
          </w:p>
        </w:tc>
        <w:tc>
          <w:tcPr>
            <w:tcW w:w="6520" w:type="dxa"/>
          </w:tcPr>
          <w:p w14:paraId="0528A894" w14:textId="77777777" w:rsidR="00FF0B96" w:rsidRPr="001F4CA4" w:rsidRDefault="00FF0B96" w:rsidP="00E52952">
            <w:pPr>
              <w:rPr>
                <w:rFonts w:ascii="Arial" w:hAnsi="Arial" w:cs="Arial"/>
                <w:b/>
              </w:rPr>
            </w:pPr>
          </w:p>
        </w:tc>
        <w:tc>
          <w:tcPr>
            <w:tcW w:w="1621" w:type="dxa"/>
          </w:tcPr>
          <w:p w14:paraId="03D7FAB4" w14:textId="77777777" w:rsidR="00FF0B96" w:rsidRPr="00202467" w:rsidRDefault="00FF0B96" w:rsidP="00E52952">
            <w:pPr>
              <w:jc w:val="center"/>
              <w:rPr>
                <w:rFonts w:ascii="Arial" w:hAnsi="Arial" w:cs="Arial"/>
              </w:rPr>
            </w:pPr>
          </w:p>
        </w:tc>
      </w:tr>
      <w:tr w:rsidR="00FF0B96" w:rsidRPr="00202467" w14:paraId="26BF509B" w14:textId="77777777" w:rsidTr="00E52952">
        <w:tc>
          <w:tcPr>
            <w:tcW w:w="1101" w:type="dxa"/>
          </w:tcPr>
          <w:p w14:paraId="5AE5D514" w14:textId="77777777" w:rsidR="00FF0B96" w:rsidRPr="00202467" w:rsidRDefault="00FF0B96" w:rsidP="00E52952">
            <w:pPr>
              <w:jc w:val="center"/>
              <w:rPr>
                <w:rFonts w:ascii="Arial" w:hAnsi="Arial" w:cs="Arial"/>
              </w:rPr>
            </w:pPr>
          </w:p>
        </w:tc>
        <w:tc>
          <w:tcPr>
            <w:tcW w:w="6520" w:type="dxa"/>
          </w:tcPr>
          <w:p w14:paraId="3E2C390E" w14:textId="77777777" w:rsidR="00FF0B96" w:rsidRPr="00202467" w:rsidRDefault="00FF0B96" w:rsidP="001F4CA4">
            <w:pPr>
              <w:rPr>
                <w:rFonts w:ascii="Arial" w:hAnsi="Arial" w:cs="Arial"/>
              </w:rPr>
            </w:pPr>
          </w:p>
        </w:tc>
        <w:tc>
          <w:tcPr>
            <w:tcW w:w="1621" w:type="dxa"/>
          </w:tcPr>
          <w:p w14:paraId="4195B14B" w14:textId="77777777" w:rsidR="00FF0B96" w:rsidRPr="00202467" w:rsidRDefault="00FF0B96" w:rsidP="00E52952">
            <w:pPr>
              <w:jc w:val="center"/>
              <w:rPr>
                <w:rFonts w:ascii="Arial" w:hAnsi="Arial" w:cs="Arial"/>
              </w:rPr>
            </w:pPr>
          </w:p>
        </w:tc>
      </w:tr>
      <w:tr w:rsidR="00FF0B96" w:rsidRPr="00202467" w14:paraId="263F22B9" w14:textId="77777777" w:rsidTr="00E52952">
        <w:tc>
          <w:tcPr>
            <w:tcW w:w="1101" w:type="dxa"/>
          </w:tcPr>
          <w:p w14:paraId="1484134B" w14:textId="77777777" w:rsidR="00FF0B96" w:rsidRPr="00202467" w:rsidRDefault="00FF0B96" w:rsidP="00E52952">
            <w:pPr>
              <w:jc w:val="center"/>
              <w:rPr>
                <w:rFonts w:ascii="Arial" w:hAnsi="Arial" w:cs="Arial"/>
              </w:rPr>
            </w:pPr>
          </w:p>
        </w:tc>
        <w:tc>
          <w:tcPr>
            <w:tcW w:w="6520" w:type="dxa"/>
          </w:tcPr>
          <w:p w14:paraId="29E4D494" w14:textId="77777777" w:rsidR="00FF0B96" w:rsidRPr="00202467" w:rsidRDefault="00FF0B96" w:rsidP="00E52952">
            <w:pPr>
              <w:rPr>
                <w:rFonts w:ascii="Arial" w:hAnsi="Arial" w:cs="Arial"/>
              </w:rPr>
            </w:pPr>
          </w:p>
        </w:tc>
        <w:tc>
          <w:tcPr>
            <w:tcW w:w="1621" w:type="dxa"/>
          </w:tcPr>
          <w:p w14:paraId="4ABBEB4F" w14:textId="77777777" w:rsidR="00FF0B96" w:rsidRPr="00202467" w:rsidRDefault="00FF0B96" w:rsidP="00E52952">
            <w:pPr>
              <w:jc w:val="center"/>
              <w:rPr>
                <w:rFonts w:ascii="Arial" w:hAnsi="Arial" w:cs="Arial"/>
              </w:rPr>
            </w:pPr>
          </w:p>
        </w:tc>
      </w:tr>
      <w:tr w:rsidR="00FF0B96" w:rsidRPr="00202467" w14:paraId="0027E2D4" w14:textId="77777777" w:rsidTr="00E52952">
        <w:tc>
          <w:tcPr>
            <w:tcW w:w="1101" w:type="dxa"/>
          </w:tcPr>
          <w:p w14:paraId="5F23D1B2" w14:textId="77777777" w:rsidR="00FF0B96" w:rsidRPr="00202467" w:rsidRDefault="00FF0B96" w:rsidP="00E52952">
            <w:pPr>
              <w:jc w:val="center"/>
              <w:rPr>
                <w:rFonts w:ascii="Arial" w:hAnsi="Arial" w:cs="Arial"/>
              </w:rPr>
            </w:pPr>
          </w:p>
        </w:tc>
        <w:tc>
          <w:tcPr>
            <w:tcW w:w="6520" w:type="dxa"/>
          </w:tcPr>
          <w:p w14:paraId="7C30863B" w14:textId="77777777" w:rsidR="00FF0B96" w:rsidRPr="00202467" w:rsidRDefault="00FF0B96" w:rsidP="00E52952">
            <w:pPr>
              <w:rPr>
                <w:rFonts w:ascii="Arial" w:hAnsi="Arial" w:cs="Arial"/>
              </w:rPr>
            </w:pPr>
          </w:p>
        </w:tc>
        <w:tc>
          <w:tcPr>
            <w:tcW w:w="1621" w:type="dxa"/>
          </w:tcPr>
          <w:p w14:paraId="6C9A8D34" w14:textId="77777777" w:rsidR="00FF0B96" w:rsidRPr="00202467" w:rsidRDefault="00FF0B96" w:rsidP="00E52952">
            <w:pPr>
              <w:jc w:val="center"/>
              <w:rPr>
                <w:rFonts w:ascii="Arial" w:hAnsi="Arial" w:cs="Arial"/>
              </w:rPr>
            </w:pPr>
          </w:p>
        </w:tc>
      </w:tr>
      <w:tr w:rsidR="00FF0B96" w:rsidRPr="00202467" w14:paraId="302345E2" w14:textId="77777777" w:rsidTr="00E52952">
        <w:tc>
          <w:tcPr>
            <w:tcW w:w="1101" w:type="dxa"/>
          </w:tcPr>
          <w:p w14:paraId="153597E4" w14:textId="77777777" w:rsidR="00FF0B96" w:rsidRPr="00202467" w:rsidRDefault="00FF0B96" w:rsidP="00E52952">
            <w:pPr>
              <w:jc w:val="center"/>
              <w:rPr>
                <w:rFonts w:ascii="Arial" w:hAnsi="Arial" w:cs="Arial"/>
              </w:rPr>
            </w:pPr>
          </w:p>
        </w:tc>
        <w:tc>
          <w:tcPr>
            <w:tcW w:w="6520" w:type="dxa"/>
          </w:tcPr>
          <w:p w14:paraId="4410B423" w14:textId="77777777" w:rsidR="00FF0B96" w:rsidRPr="00202467" w:rsidRDefault="00FF0B96" w:rsidP="00E52952">
            <w:pPr>
              <w:rPr>
                <w:rFonts w:ascii="Arial" w:hAnsi="Arial" w:cs="Arial"/>
              </w:rPr>
            </w:pPr>
          </w:p>
        </w:tc>
        <w:tc>
          <w:tcPr>
            <w:tcW w:w="1621" w:type="dxa"/>
          </w:tcPr>
          <w:p w14:paraId="4FDB6E4C" w14:textId="77777777" w:rsidR="00FF0B96" w:rsidRPr="00202467" w:rsidRDefault="00FF0B96" w:rsidP="00E52952">
            <w:pPr>
              <w:jc w:val="center"/>
              <w:rPr>
                <w:rFonts w:ascii="Arial" w:hAnsi="Arial" w:cs="Arial"/>
              </w:rPr>
            </w:pPr>
          </w:p>
        </w:tc>
      </w:tr>
      <w:tr w:rsidR="00FF0B96" w:rsidRPr="00202467" w14:paraId="6533895B" w14:textId="77777777" w:rsidTr="00E52952">
        <w:tc>
          <w:tcPr>
            <w:tcW w:w="1101" w:type="dxa"/>
          </w:tcPr>
          <w:p w14:paraId="543CB4A2" w14:textId="77777777" w:rsidR="00FF0B96" w:rsidRPr="00202467" w:rsidRDefault="00FF0B96" w:rsidP="00E52952">
            <w:pPr>
              <w:jc w:val="center"/>
              <w:rPr>
                <w:rFonts w:ascii="Arial" w:hAnsi="Arial" w:cs="Arial"/>
              </w:rPr>
            </w:pPr>
          </w:p>
        </w:tc>
        <w:tc>
          <w:tcPr>
            <w:tcW w:w="6520" w:type="dxa"/>
          </w:tcPr>
          <w:p w14:paraId="37EA9A45" w14:textId="77777777" w:rsidR="00FF0B96" w:rsidRPr="00202467" w:rsidRDefault="00FF0B96" w:rsidP="00E52952">
            <w:pPr>
              <w:rPr>
                <w:rFonts w:ascii="Arial" w:hAnsi="Arial" w:cs="Arial"/>
              </w:rPr>
            </w:pPr>
          </w:p>
        </w:tc>
        <w:tc>
          <w:tcPr>
            <w:tcW w:w="1621" w:type="dxa"/>
          </w:tcPr>
          <w:p w14:paraId="3E2D26BA" w14:textId="77777777" w:rsidR="00FF0B96" w:rsidRPr="00202467" w:rsidRDefault="00FF0B96" w:rsidP="00E52952">
            <w:pPr>
              <w:jc w:val="center"/>
              <w:rPr>
                <w:rFonts w:ascii="Arial" w:hAnsi="Arial" w:cs="Arial"/>
              </w:rPr>
            </w:pPr>
          </w:p>
        </w:tc>
      </w:tr>
      <w:tr w:rsidR="00FF0B96" w:rsidRPr="00202467" w14:paraId="20D6FA04" w14:textId="77777777" w:rsidTr="00362D81">
        <w:trPr>
          <w:trHeight w:val="68"/>
        </w:trPr>
        <w:tc>
          <w:tcPr>
            <w:tcW w:w="1101" w:type="dxa"/>
          </w:tcPr>
          <w:p w14:paraId="05295575" w14:textId="77777777" w:rsidR="00FF0B96" w:rsidRPr="00202467" w:rsidRDefault="00FF0B96" w:rsidP="00E52952">
            <w:pPr>
              <w:jc w:val="center"/>
              <w:rPr>
                <w:rFonts w:ascii="Arial" w:hAnsi="Arial" w:cs="Arial"/>
              </w:rPr>
            </w:pPr>
          </w:p>
        </w:tc>
        <w:tc>
          <w:tcPr>
            <w:tcW w:w="6520" w:type="dxa"/>
          </w:tcPr>
          <w:p w14:paraId="1DC0247A" w14:textId="77777777" w:rsidR="00FF0B96" w:rsidRPr="00202467" w:rsidRDefault="00FF0B96" w:rsidP="00E52952">
            <w:pPr>
              <w:rPr>
                <w:rFonts w:ascii="Arial" w:hAnsi="Arial" w:cs="Arial"/>
              </w:rPr>
            </w:pPr>
          </w:p>
        </w:tc>
        <w:tc>
          <w:tcPr>
            <w:tcW w:w="1621" w:type="dxa"/>
          </w:tcPr>
          <w:p w14:paraId="6F440DEC" w14:textId="77777777" w:rsidR="00FF0B96" w:rsidRPr="00202467" w:rsidRDefault="00FF0B96" w:rsidP="00E52952">
            <w:pPr>
              <w:jc w:val="center"/>
              <w:rPr>
                <w:rFonts w:ascii="Arial" w:hAnsi="Arial" w:cs="Arial"/>
              </w:rPr>
            </w:pPr>
          </w:p>
        </w:tc>
      </w:tr>
      <w:tr w:rsidR="00FF0B96" w:rsidRPr="00202467" w14:paraId="54F02C7B" w14:textId="77777777" w:rsidTr="00E52952">
        <w:tc>
          <w:tcPr>
            <w:tcW w:w="1101" w:type="dxa"/>
          </w:tcPr>
          <w:p w14:paraId="724238DA" w14:textId="77777777" w:rsidR="00FF0B96" w:rsidRPr="00202467" w:rsidRDefault="00FF0B96" w:rsidP="00E52952">
            <w:pPr>
              <w:jc w:val="center"/>
              <w:rPr>
                <w:rFonts w:ascii="Arial" w:hAnsi="Arial" w:cs="Arial"/>
              </w:rPr>
            </w:pPr>
          </w:p>
        </w:tc>
        <w:tc>
          <w:tcPr>
            <w:tcW w:w="6520" w:type="dxa"/>
          </w:tcPr>
          <w:p w14:paraId="718BF562" w14:textId="77777777" w:rsidR="00FF0B96" w:rsidRPr="00202467" w:rsidRDefault="00FF0B96" w:rsidP="00E52952">
            <w:pPr>
              <w:rPr>
                <w:rFonts w:ascii="Arial" w:hAnsi="Arial" w:cs="Arial"/>
              </w:rPr>
            </w:pPr>
          </w:p>
        </w:tc>
        <w:tc>
          <w:tcPr>
            <w:tcW w:w="1621" w:type="dxa"/>
          </w:tcPr>
          <w:p w14:paraId="2151A9EA" w14:textId="77777777" w:rsidR="00FF0B96" w:rsidRPr="00202467" w:rsidRDefault="00FF0B96" w:rsidP="00E52952">
            <w:pPr>
              <w:jc w:val="center"/>
              <w:rPr>
                <w:rFonts w:ascii="Arial" w:hAnsi="Arial" w:cs="Arial"/>
              </w:rPr>
            </w:pPr>
          </w:p>
        </w:tc>
      </w:tr>
      <w:tr w:rsidR="00FF0B96" w:rsidRPr="00202467" w14:paraId="2FB8B7B1" w14:textId="77777777" w:rsidTr="00E52952">
        <w:tc>
          <w:tcPr>
            <w:tcW w:w="1101" w:type="dxa"/>
          </w:tcPr>
          <w:p w14:paraId="1CE7468C" w14:textId="77777777" w:rsidR="00FF0B96" w:rsidRPr="00202467" w:rsidRDefault="00FF0B96" w:rsidP="00E52952">
            <w:pPr>
              <w:jc w:val="center"/>
              <w:rPr>
                <w:rFonts w:ascii="Arial" w:hAnsi="Arial" w:cs="Arial"/>
              </w:rPr>
            </w:pPr>
          </w:p>
        </w:tc>
        <w:tc>
          <w:tcPr>
            <w:tcW w:w="6520" w:type="dxa"/>
          </w:tcPr>
          <w:p w14:paraId="6F8A36DB" w14:textId="77777777" w:rsidR="00FF0B96" w:rsidRPr="00202467" w:rsidRDefault="00FF0B96" w:rsidP="00E52952">
            <w:pPr>
              <w:rPr>
                <w:rFonts w:ascii="Arial" w:hAnsi="Arial" w:cs="Arial"/>
              </w:rPr>
            </w:pPr>
          </w:p>
        </w:tc>
        <w:tc>
          <w:tcPr>
            <w:tcW w:w="1621" w:type="dxa"/>
          </w:tcPr>
          <w:p w14:paraId="24677322" w14:textId="77777777" w:rsidR="00FF0B96" w:rsidRPr="00202467" w:rsidRDefault="00FF0B96" w:rsidP="00E52952">
            <w:pPr>
              <w:jc w:val="center"/>
              <w:rPr>
                <w:rFonts w:ascii="Arial" w:hAnsi="Arial" w:cs="Arial"/>
              </w:rPr>
            </w:pPr>
          </w:p>
        </w:tc>
      </w:tr>
      <w:tr w:rsidR="00FF0B96" w:rsidRPr="00202467" w14:paraId="3AB56353" w14:textId="77777777" w:rsidTr="00E52952">
        <w:trPr>
          <w:trHeight w:val="70"/>
        </w:trPr>
        <w:tc>
          <w:tcPr>
            <w:tcW w:w="1101" w:type="dxa"/>
          </w:tcPr>
          <w:p w14:paraId="5C6BE10F" w14:textId="77777777" w:rsidR="00FF0B96" w:rsidRPr="00202467" w:rsidRDefault="00FF0B96" w:rsidP="00E52952">
            <w:pPr>
              <w:jc w:val="center"/>
              <w:rPr>
                <w:rFonts w:ascii="Arial" w:hAnsi="Arial" w:cs="Arial"/>
              </w:rPr>
            </w:pPr>
          </w:p>
        </w:tc>
        <w:tc>
          <w:tcPr>
            <w:tcW w:w="6520" w:type="dxa"/>
          </w:tcPr>
          <w:p w14:paraId="31A5DB89" w14:textId="77777777" w:rsidR="00FF0B96" w:rsidRPr="00202467" w:rsidRDefault="00FF0B96" w:rsidP="00E52952">
            <w:pPr>
              <w:rPr>
                <w:rFonts w:ascii="Arial" w:hAnsi="Arial" w:cs="Arial"/>
              </w:rPr>
            </w:pPr>
          </w:p>
        </w:tc>
        <w:tc>
          <w:tcPr>
            <w:tcW w:w="1621" w:type="dxa"/>
          </w:tcPr>
          <w:p w14:paraId="42E3DD81" w14:textId="77777777" w:rsidR="00FF0B96" w:rsidRPr="00202467" w:rsidRDefault="00FF0B96" w:rsidP="00E52952">
            <w:pPr>
              <w:jc w:val="center"/>
              <w:rPr>
                <w:rFonts w:ascii="Arial" w:hAnsi="Arial" w:cs="Arial"/>
              </w:rPr>
            </w:pPr>
          </w:p>
        </w:tc>
      </w:tr>
      <w:tr w:rsidR="00FF0B96" w:rsidRPr="00202467" w14:paraId="373FA049" w14:textId="77777777" w:rsidTr="00E52952">
        <w:tc>
          <w:tcPr>
            <w:tcW w:w="1101" w:type="dxa"/>
          </w:tcPr>
          <w:p w14:paraId="5BB0293D" w14:textId="77777777" w:rsidR="00FF0B96" w:rsidRPr="00202467" w:rsidRDefault="00FF0B96" w:rsidP="00E52952">
            <w:pPr>
              <w:jc w:val="center"/>
              <w:rPr>
                <w:rFonts w:ascii="Arial" w:hAnsi="Arial" w:cs="Arial"/>
              </w:rPr>
            </w:pPr>
          </w:p>
        </w:tc>
        <w:tc>
          <w:tcPr>
            <w:tcW w:w="6520" w:type="dxa"/>
          </w:tcPr>
          <w:p w14:paraId="102AEAF2" w14:textId="77777777" w:rsidR="00FF0B96" w:rsidRPr="00202467" w:rsidRDefault="00FF0B96" w:rsidP="00E52952">
            <w:pPr>
              <w:rPr>
                <w:rFonts w:ascii="Arial" w:hAnsi="Arial" w:cs="Arial"/>
              </w:rPr>
            </w:pPr>
          </w:p>
        </w:tc>
        <w:tc>
          <w:tcPr>
            <w:tcW w:w="1621" w:type="dxa"/>
          </w:tcPr>
          <w:p w14:paraId="5983FAF6" w14:textId="77777777" w:rsidR="00FF0B96" w:rsidRPr="00202467" w:rsidRDefault="00FF0B96" w:rsidP="00E52952">
            <w:pPr>
              <w:jc w:val="center"/>
              <w:rPr>
                <w:rFonts w:ascii="Arial" w:hAnsi="Arial" w:cs="Arial"/>
              </w:rPr>
            </w:pPr>
          </w:p>
        </w:tc>
      </w:tr>
      <w:tr w:rsidR="00751B88" w:rsidRPr="00202467" w14:paraId="7E0AC39D" w14:textId="77777777" w:rsidTr="00E52952">
        <w:tc>
          <w:tcPr>
            <w:tcW w:w="1101" w:type="dxa"/>
          </w:tcPr>
          <w:p w14:paraId="1EF4E019" w14:textId="77777777" w:rsidR="00751B88" w:rsidRDefault="00751B88" w:rsidP="00E52952">
            <w:pPr>
              <w:jc w:val="center"/>
              <w:rPr>
                <w:rFonts w:ascii="Arial" w:hAnsi="Arial" w:cs="Arial"/>
              </w:rPr>
            </w:pPr>
          </w:p>
        </w:tc>
        <w:tc>
          <w:tcPr>
            <w:tcW w:w="6520" w:type="dxa"/>
          </w:tcPr>
          <w:p w14:paraId="3345CED0" w14:textId="77777777" w:rsidR="00751B88" w:rsidRDefault="00751B88" w:rsidP="00E52952">
            <w:pPr>
              <w:rPr>
                <w:rFonts w:ascii="Arial" w:hAnsi="Arial" w:cs="Arial"/>
              </w:rPr>
            </w:pPr>
          </w:p>
        </w:tc>
        <w:tc>
          <w:tcPr>
            <w:tcW w:w="1621" w:type="dxa"/>
          </w:tcPr>
          <w:p w14:paraId="181BD017" w14:textId="77777777" w:rsidR="00751B88" w:rsidRPr="00202467" w:rsidRDefault="00751B88" w:rsidP="00E52952">
            <w:pPr>
              <w:jc w:val="center"/>
              <w:rPr>
                <w:rFonts w:ascii="Arial" w:hAnsi="Arial" w:cs="Arial"/>
              </w:rPr>
            </w:pPr>
          </w:p>
        </w:tc>
      </w:tr>
      <w:tr w:rsidR="00751B88" w:rsidRPr="00202467" w14:paraId="1385F425" w14:textId="77777777" w:rsidTr="00E52952">
        <w:tc>
          <w:tcPr>
            <w:tcW w:w="1101" w:type="dxa"/>
          </w:tcPr>
          <w:p w14:paraId="7DFF6640" w14:textId="77777777" w:rsidR="00751B88" w:rsidRDefault="00751B88" w:rsidP="00E52952">
            <w:pPr>
              <w:jc w:val="center"/>
              <w:rPr>
                <w:rFonts w:ascii="Arial" w:hAnsi="Arial" w:cs="Arial"/>
              </w:rPr>
            </w:pPr>
          </w:p>
        </w:tc>
        <w:tc>
          <w:tcPr>
            <w:tcW w:w="6520" w:type="dxa"/>
          </w:tcPr>
          <w:p w14:paraId="4A02AE25" w14:textId="77777777" w:rsidR="00751B88" w:rsidRDefault="00751B88" w:rsidP="00E52952">
            <w:pPr>
              <w:rPr>
                <w:rFonts w:ascii="Arial" w:hAnsi="Arial" w:cs="Arial"/>
              </w:rPr>
            </w:pPr>
          </w:p>
        </w:tc>
        <w:tc>
          <w:tcPr>
            <w:tcW w:w="1621" w:type="dxa"/>
          </w:tcPr>
          <w:p w14:paraId="63DF95E2" w14:textId="77777777" w:rsidR="00751B88" w:rsidRPr="00202467" w:rsidRDefault="00751B88" w:rsidP="00E52952">
            <w:pPr>
              <w:jc w:val="center"/>
              <w:rPr>
                <w:rFonts w:ascii="Arial" w:hAnsi="Arial" w:cs="Arial"/>
              </w:rPr>
            </w:pPr>
          </w:p>
        </w:tc>
      </w:tr>
      <w:tr w:rsidR="00751B88" w:rsidRPr="00202467" w14:paraId="7F94C565" w14:textId="77777777" w:rsidTr="00E52952">
        <w:tc>
          <w:tcPr>
            <w:tcW w:w="1101" w:type="dxa"/>
          </w:tcPr>
          <w:p w14:paraId="14F3D848" w14:textId="77777777" w:rsidR="00751B88" w:rsidRDefault="00751B88" w:rsidP="00E52952">
            <w:pPr>
              <w:jc w:val="center"/>
              <w:rPr>
                <w:rFonts w:ascii="Arial" w:hAnsi="Arial" w:cs="Arial"/>
              </w:rPr>
            </w:pPr>
          </w:p>
        </w:tc>
        <w:tc>
          <w:tcPr>
            <w:tcW w:w="6520" w:type="dxa"/>
          </w:tcPr>
          <w:p w14:paraId="69BCF568" w14:textId="77777777" w:rsidR="00751B88" w:rsidRDefault="00751B88" w:rsidP="00E52952">
            <w:pPr>
              <w:rPr>
                <w:rFonts w:ascii="Arial" w:hAnsi="Arial" w:cs="Arial"/>
              </w:rPr>
            </w:pPr>
          </w:p>
        </w:tc>
        <w:tc>
          <w:tcPr>
            <w:tcW w:w="1621" w:type="dxa"/>
          </w:tcPr>
          <w:p w14:paraId="111F79EA" w14:textId="77777777" w:rsidR="00751B88" w:rsidRPr="00202467" w:rsidRDefault="00751B88" w:rsidP="00E52952">
            <w:pPr>
              <w:jc w:val="center"/>
              <w:rPr>
                <w:rFonts w:ascii="Arial" w:hAnsi="Arial" w:cs="Arial"/>
              </w:rPr>
            </w:pPr>
          </w:p>
        </w:tc>
      </w:tr>
      <w:tr w:rsidR="00751B88" w:rsidRPr="00202467" w14:paraId="390CCE7E" w14:textId="77777777" w:rsidTr="00E52952">
        <w:tc>
          <w:tcPr>
            <w:tcW w:w="1101" w:type="dxa"/>
          </w:tcPr>
          <w:p w14:paraId="0965A729" w14:textId="77777777" w:rsidR="00751B88" w:rsidRDefault="00751B88" w:rsidP="00E52952">
            <w:pPr>
              <w:jc w:val="center"/>
              <w:rPr>
                <w:rFonts w:ascii="Arial" w:hAnsi="Arial" w:cs="Arial"/>
              </w:rPr>
            </w:pPr>
          </w:p>
        </w:tc>
        <w:tc>
          <w:tcPr>
            <w:tcW w:w="6520" w:type="dxa"/>
          </w:tcPr>
          <w:p w14:paraId="1BCA7FED" w14:textId="77777777" w:rsidR="00751B88" w:rsidRDefault="00751B88" w:rsidP="00E52952">
            <w:pPr>
              <w:rPr>
                <w:rFonts w:ascii="Arial" w:hAnsi="Arial" w:cs="Arial"/>
              </w:rPr>
            </w:pPr>
          </w:p>
        </w:tc>
        <w:tc>
          <w:tcPr>
            <w:tcW w:w="1621" w:type="dxa"/>
          </w:tcPr>
          <w:p w14:paraId="429A6B22" w14:textId="77777777" w:rsidR="00751B88" w:rsidRPr="00202467" w:rsidRDefault="00751B88" w:rsidP="00E52952">
            <w:pPr>
              <w:jc w:val="center"/>
              <w:rPr>
                <w:rFonts w:ascii="Arial" w:hAnsi="Arial" w:cs="Arial"/>
              </w:rPr>
            </w:pPr>
          </w:p>
        </w:tc>
      </w:tr>
    </w:tbl>
    <w:p w14:paraId="3B5A9B21" w14:textId="77777777" w:rsidR="00FF0B96" w:rsidRPr="00202467" w:rsidRDefault="00FF0B96" w:rsidP="00FF0B96">
      <w:pPr>
        <w:spacing w:after="0" w:line="240" w:lineRule="auto"/>
        <w:rPr>
          <w:rFonts w:ascii="Arial" w:hAnsi="Arial" w:cs="Arial"/>
        </w:rPr>
      </w:pPr>
    </w:p>
    <w:p w14:paraId="1DFE1549" w14:textId="77777777" w:rsidR="00FF0B96" w:rsidRPr="00202467" w:rsidRDefault="00FF0B96" w:rsidP="00FF0B96">
      <w:pPr>
        <w:spacing w:after="0" w:line="240" w:lineRule="auto"/>
        <w:rPr>
          <w:rFonts w:ascii="Arial" w:hAnsi="Arial" w:cs="Arial"/>
        </w:rPr>
      </w:pPr>
    </w:p>
    <w:tbl>
      <w:tblPr>
        <w:tblStyle w:val="TableGrid"/>
        <w:tblpPr w:leftFromText="180" w:rightFromText="180" w:vertAnchor="page" w:horzAnchor="margin" w:tblpY="2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520"/>
        <w:gridCol w:w="1621"/>
      </w:tblGrid>
      <w:tr w:rsidR="00B43822" w14:paraId="13954079" w14:textId="77777777" w:rsidTr="00B43822">
        <w:tc>
          <w:tcPr>
            <w:tcW w:w="1101" w:type="dxa"/>
            <w:hideMark/>
          </w:tcPr>
          <w:p w14:paraId="37835242" w14:textId="77777777" w:rsidR="00B43822" w:rsidRDefault="00B43822">
            <w:pPr>
              <w:jc w:val="center"/>
              <w:rPr>
                <w:rFonts w:ascii="Arial" w:hAnsi="Arial" w:cs="Arial"/>
              </w:rPr>
            </w:pPr>
            <w:r>
              <w:rPr>
                <w:rFonts w:ascii="Arial" w:hAnsi="Arial" w:cs="Arial"/>
              </w:rPr>
              <w:t>Item</w:t>
            </w:r>
          </w:p>
        </w:tc>
        <w:tc>
          <w:tcPr>
            <w:tcW w:w="6520" w:type="dxa"/>
          </w:tcPr>
          <w:p w14:paraId="43F7856B" w14:textId="77777777" w:rsidR="00B43822" w:rsidRDefault="00B43822">
            <w:pPr>
              <w:rPr>
                <w:rFonts w:ascii="Arial" w:hAnsi="Arial" w:cs="Arial"/>
              </w:rPr>
            </w:pPr>
          </w:p>
        </w:tc>
        <w:tc>
          <w:tcPr>
            <w:tcW w:w="1621" w:type="dxa"/>
            <w:hideMark/>
          </w:tcPr>
          <w:p w14:paraId="09C632BD" w14:textId="77777777" w:rsidR="00B43822" w:rsidRDefault="00B43822">
            <w:pPr>
              <w:jc w:val="center"/>
              <w:rPr>
                <w:rFonts w:ascii="Arial" w:hAnsi="Arial" w:cs="Arial"/>
              </w:rPr>
            </w:pPr>
            <w:r>
              <w:rPr>
                <w:rFonts w:ascii="Arial" w:hAnsi="Arial" w:cs="Arial"/>
              </w:rPr>
              <w:t>Page</w:t>
            </w:r>
          </w:p>
        </w:tc>
      </w:tr>
      <w:tr w:rsidR="00B43822" w14:paraId="265616B7" w14:textId="77777777" w:rsidTr="00B43822">
        <w:tc>
          <w:tcPr>
            <w:tcW w:w="1101" w:type="dxa"/>
          </w:tcPr>
          <w:p w14:paraId="5FD72431" w14:textId="77777777" w:rsidR="00B43822" w:rsidRDefault="00B43822">
            <w:pPr>
              <w:jc w:val="center"/>
              <w:rPr>
                <w:rFonts w:ascii="Arial" w:hAnsi="Arial" w:cs="Arial"/>
              </w:rPr>
            </w:pPr>
          </w:p>
        </w:tc>
        <w:tc>
          <w:tcPr>
            <w:tcW w:w="6520" w:type="dxa"/>
            <w:hideMark/>
          </w:tcPr>
          <w:p w14:paraId="5B945B84" w14:textId="77777777" w:rsidR="00B43822" w:rsidRDefault="00B43822">
            <w:pPr>
              <w:rPr>
                <w:rFonts w:ascii="Arial" w:hAnsi="Arial" w:cs="Arial"/>
              </w:rPr>
            </w:pPr>
            <w:r>
              <w:rPr>
                <w:rFonts w:ascii="Arial" w:hAnsi="Arial" w:cs="Arial"/>
              </w:rPr>
              <w:t>Introduction Part A</w:t>
            </w:r>
          </w:p>
        </w:tc>
        <w:tc>
          <w:tcPr>
            <w:tcW w:w="1621" w:type="dxa"/>
            <w:hideMark/>
          </w:tcPr>
          <w:p w14:paraId="6587D07C" w14:textId="77777777" w:rsidR="00B43822" w:rsidRDefault="0015240E">
            <w:pPr>
              <w:jc w:val="center"/>
              <w:rPr>
                <w:rFonts w:ascii="Arial" w:hAnsi="Arial" w:cs="Arial"/>
              </w:rPr>
            </w:pPr>
            <w:r>
              <w:rPr>
                <w:rFonts w:ascii="Arial" w:hAnsi="Arial" w:cs="Arial"/>
              </w:rPr>
              <w:t>4</w:t>
            </w:r>
          </w:p>
        </w:tc>
      </w:tr>
      <w:tr w:rsidR="00B43822" w14:paraId="57C2425D" w14:textId="77777777" w:rsidTr="00B43822">
        <w:tc>
          <w:tcPr>
            <w:tcW w:w="1101" w:type="dxa"/>
            <w:hideMark/>
          </w:tcPr>
          <w:p w14:paraId="4FB23303" w14:textId="77777777" w:rsidR="00B43822" w:rsidRDefault="00B43822">
            <w:pPr>
              <w:jc w:val="center"/>
              <w:rPr>
                <w:rFonts w:ascii="Arial" w:hAnsi="Arial" w:cs="Arial"/>
              </w:rPr>
            </w:pPr>
            <w:r>
              <w:rPr>
                <w:rFonts w:ascii="Arial" w:hAnsi="Arial" w:cs="Arial"/>
              </w:rPr>
              <w:t>1</w:t>
            </w:r>
          </w:p>
        </w:tc>
        <w:tc>
          <w:tcPr>
            <w:tcW w:w="6520" w:type="dxa"/>
            <w:hideMark/>
          </w:tcPr>
          <w:p w14:paraId="025BCD57" w14:textId="77777777" w:rsidR="00B43822" w:rsidRDefault="00B43822">
            <w:pPr>
              <w:rPr>
                <w:rFonts w:ascii="Arial" w:hAnsi="Arial" w:cs="Arial"/>
              </w:rPr>
            </w:pPr>
            <w:r>
              <w:rPr>
                <w:rFonts w:ascii="Arial" w:hAnsi="Arial" w:cs="Arial"/>
              </w:rPr>
              <w:t>Engagement</w:t>
            </w:r>
          </w:p>
        </w:tc>
        <w:tc>
          <w:tcPr>
            <w:tcW w:w="1621" w:type="dxa"/>
            <w:hideMark/>
          </w:tcPr>
          <w:p w14:paraId="16E12E84" w14:textId="77777777" w:rsidR="00B43822" w:rsidRDefault="00995AE9">
            <w:pPr>
              <w:jc w:val="center"/>
              <w:rPr>
                <w:rFonts w:ascii="Arial" w:hAnsi="Arial" w:cs="Arial"/>
              </w:rPr>
            </w:pPr>
            <w:r>
              <w:rPr>
                <w:rFonts w:ascii="Arial" w:hAnsi="Arial" w:cs="Arial"/>
              </w:rPr>
              <w:t>4</w:t>
            </w:r>
          </w:p>
        </w:tc>
      </w:tr>
      <w:tr w:rsidR="00B43822" w14:paraId="6B043B25" w14:textId="77777777" w:rsidTr="00B43822">
        <w:tc>
          <w:tcPr>
            <w:tcW w:w="1101" w:type="dxa"/>
            <w:hideMark/>
          </w:tcPr>
          <w:p w14:paraId="5278D468" w14:textId="77777777" w:rsidR="00B43822" w:rsidRDefault="00B43822">
            <w:pPr>
              <w:jc w:val="center"/>
              <w:rPr>
                <w:rFonts w:ascii="Arial" w:hAnsi="Arial" w:cs="Arial"/>
              </w:rPr>
            </w:pPr>
            <w:r>
              <w:rPr>
                <w:rFonts w:ascii="Arial" w:hAnsi="Arial" w:cs="Arial"/>
              </w:rPr>
              <w:t>2</w:t>
            </w:r>
          </w:p>
        </w:tc>
        <w:tc>
          <w:tcPr>
            <w:tcW w:w="6520" w:type="dxa"/>
            <w:hideMark/>
          </w:tcPr>
          <w:p w14:paraId="007985D5" w14:textId="77777777" w:rsidR="00B43822" w:rsidRDefault="00B43822">
            <w:pPr>
              <w:rPr>
                <w:rFonts w:ascii="Arial" w:hAnsi="Arial" w:cs="Arial"/>
              </w:rPr>
            </w:pPr>
            <w:r>
              <w:rPr>
                <w:rFonts w:ascii="Arial" w:hAnsi="Arial" w:cs="Arial"/>
              </w:rPr>
              <w:t>Impact analyses</w:t>
            </w:r>
          </w:p>
        </w:tc>
        <w:tc>
          <w:tcPr>
            <w:tcW w:w="1621" w:type="dxa"/>
            <w:hideMark/>
          </w:tcPr>
          <w:p w14:paraId="510FED02" w14:textId="77777777" w:rsidR="00B43822" w:rsidRDefault="00995AE9">
            <w:pPr>
              <w:jc w:val="center"/>
              <w:rPr>
                <w:rFonts w:ascii="Arial" w:hAnsi="Arial" w:cs="Arial"/>
              </w:rPr>
            </w:pPr>
            <w:r>
              <w:rPr>
                <w:rFonts w:ascii="Arial" w:hAnsi="Arial" w:cs="Arial"/>
              </w:rPr>
              <w:t>4</w:t>
            </w:r>
          </w:p>
        </w:tc>
      </w:tr>
      <w:tr w:rsidR="00B43822" w14:paraId="7889D753" w14:textId="77777777" w:rsidTr="00B43822">
        <w:tc>
          <w:tcPr>
            <w:tcW w:w="1101" w:type="dxa"/>
            <w:hideMark/>
          </w:tcPr>
          <w:p w14:paraId="1C5DE272" w14:textId="77777777" w:rsidR="00B43822" w:rsidRDefault="00B43822">
            <w:pPr>
              <w:jc w:val="center"/>
              <w:rPr>
                <w:rFonts w:ascii="Arial" w:hAnsi="Arial" w:cs="Arial"/>
              </w:rPr>
            </w:pPr>
            <w:r>
              <w:rPr>
                <w:rFonts w:ascii="Arial" w:hAnsi="Arial" w:cs="Arial"/>
              </w:rPr>
              <w:t>2.1</w:t>
            </w:r>
          </w:p>
        </w:tc>
        <w:tc>
          <w:tcPr>
            <w:tcW w:w="6520" w:type="dxa"/>
            <w:hideMark/>
          </w:tcPr>
          <w:p w14:paraId="58C4E762" w14:textId="77777777" w:rsidR="00B43822" w:rsidRDefault="00B43822">
            <w:pPr>
              <w:rPr>
                <w:rFonts w:ascii="Arial" w:hAnsi="Arial" w:cs="Arial"/>
              </w:rPr>
            </w:pPr>
            <w:r>
              <w:rPr>
                <w:rFonts w:ascii="Arial" w:hAnsi="Arial" w:cs="Arial"/>
              </w:rPr>
              <w:t>Sustainability</w:t>
            </w:r>
          </w:p>
        </w:tc>
        <w:tc>
          <w:tcPr>
            <w:tcW w:w="1621" w:type="dxa"/>
            <w:hideMark/>
          </w:tcPr>
          <w:p w14:paraId="14ED8EBE" w14:textId="77777777" w:rsidR="00B43822" w:rsidRDefault="00B43822">
            <w:pPr>
              <w:jc w:val="center"/>
              <w:rPr>
                <w:rFonts w:ascii="Arial" w:hAnsi="Arial" w:cs="Arial"/>
              </w:rPr>
            </w:pPr>
            <w:r>
              <w:rPr>
                <w:rFonts w:ascii="Arial" w:hAnsi="Arial" w:cs="Arial"/>
              </w:rPr>
              <w:t>5</w:t>
            </w:r>
          </w:p>
        </w:tc>
      </w:tr>
      <w:tr w:rsidR="00B43822" w14:paraId="38B779C8" w14:textId="77777777" w:rsidTr="00B43822">
        <w:tc>
          <w:tcPr>
            <w:tcW w:w="1101" w:type="dxa"/>
            <w:hideMark/>
          </w:tcPr>
          <w:p w14:paraId="5B169638" w14:textId="77777777" w:rsidR="00B43822" w:rsidRDefault="00B43822">
            <w:pPr>
              <w:jc w:val="center"/>
              <w:rPr>
                <w:rFonts w:ascii="Arial" w:hAnsi="Arial" w:cs="Arial"/>
              </w:rPr>
            </w:pPr>
            <w:r>
              <w:rPr>
                <w:rFonts w:ascii="Arial" w:hAnsi="Arial" w:cs="Arial"/>
              </w:rPr>
              <w:t>2.2</w:t>
            </w:r>
          </w:p>
        </w:tc>
        <w:tc>
          <w:tcPr>
            <w:tcW w:w="6520" w:type="dxa"/>
            <w:hideMark/>
          </w:tcPr>
          <w:p w14:paraId="0C8DC0FB" w14:textId="77777777" w:rsidR="00B43822" w:rsidRDefault="00B43822">
            <w:pPr>
              <w:rPr>
                <w:rFonts w:ascii="Arial" w:hAnsi="Arial" w:cs="Arial"/>
              </w:rPr>
            </w:pPr>
            <w:r>
              <w:rPr>
                <w:rFonts w:ascii="Arial" w:hAnsi="Arial" w:cs="Arial"/>
              </w:rPr>
              <w:t>Bribery act 2010</w:t>
            </w:r>
          </w:p>
        </w:tc>
        <w:tc>
          <w:tcPr>
            <w:tcW w:w="1621" w:type="dxa"/>
            <w:hideMark/>
          </w:tcPr>
          <w:p w14:paraId="35312078" w14:textId="77777777" w:rsidR="00B43822" w:rsidRDefault="00995AE9" w:rsidP="00832178">
            <w:pPr>
              <w:jc w:val="center"/>
              <w:rPr>
                <w:rFonts w:ascii="Arial" w:hAnsi="Arial" w:cs="Arial"/>
              </w:rPr>
            </w:pPr>
            <w:r>
              <w:rPr>
                <w:rFonts w:ascii="Arial" w:hAnsi="Arial" w:cs="Arial"/>
              </w:rPr>
              <w:t>5</w:t>
            </w:r>
          </w:p>
        </w:tc>
      </w:tr>
      <w:tr w:rsidR="00B43822" w14:paraId="0C2E8298" w14:textId="77777777" w:rsidTr="00B43822">
        <w:tc>
          <w:tcPr>
            <w:tcW w:w="1101" w:type="dxa"/>
            <w:hideMark/>
          </w:tcPr>
          <w:p w14:paraId="71C7AD7E" w14:textId="77777777" w:rsidR="00B43822" w:rsidRDefault="00B43822">
            <w:pPr>
              <w:jc w:val="center"/>
              <w:rPr>
                <w:rFonts w:ascii="Arial" w:hAnsi="Arial" w:cs="Arial"/>
              </w:rPr>
            </w:pPr>
            <w:r>
              <w:rPr>
                <w:rFonts w:ascii="Arial" w:hAnsi="Arial" w:cs="Arial"/>
              </w:rPr>
              <w:t>3</w:t>
            </w:r>
          </w:p>
        </w:tc>
        <w:tc>
          <w:tcPr>
            <w:tcW w:w="6520" w:type="dxa"/>
            <w:hideMark/>
          </w:tcPr>
          <w:p w14:paraId="1457B1B0" w14:textId="77777777" w:rsidR="00B43822" w:rsidRDefault="00B43822">
            <w:pPr>
              <w:rPr>
                <w:rFonts w:ascii="Arial" w:hAnsi="Arial" w:cs="Arial"/>
              </w:rPr>
            </w:pPr>
            <w:r>
              <w:rPr>
                <w:rFonts w:ascii="Arial" w:hAnsi="Arial" w:cs="Arial"/>
              </w:rPr>
              <w:t>Scope</w:t>
            </w:r>
          </w:p>
        </w:tc>
        <w:tc>
          <w:tcPr>
            <w:tcW w:w="1621" w:type="dxa"/>
            <w:hideMark/>
          </w:tcPr>
          <w:p w14:paraId="03486A9C" w14:textId="77777777" w:rsidR="00B43822" w:rsidRDefault="00995AE9">
            <w:pPr>
              <w:jc w:val="center"/>
              <w:rPr>
                <w:rFonts w:ascii="Arial" w:hAnsi="Arial" w:cs="Arial"/>
              </w:rPr>
            </w:pPr>
            <w:r>
              <w:rPr>
                <w:rFonts w:ascii="Arial" w:hAnsi="Arial" w:cs="Arial"/>
              </w:rPr>
              <w:t>5</w:t>
            </w:r>
          </w:p>
        </w:tc>
      </w:tr>
      <w:tr w:rsidR="00B43822" w14:paraId="27349588" w14:textId="77777777" w:rsidTr="00B43822">
        <w:tc>
          <w:tcPr>
            <w:tcW w:w="1101" w:type="dxa"/>
            <w:hideMark/>
          </w:tcPr>
          <w:p w14:paraId="6F54C33B" w14:textId="77777777" w:rsidR="00B43822" w:rsidRDefault="00B43822">
            <w:pPr>
              <w:jc w:val="center"/>
              <w:rPr>
                <w:rFonts w:ascii="Arial" w:hAnsi="Arial" w:cs="Arial"/>
              </w:rPr>
            </w:pPr>
            <w:r>
              <w:rPr>
                <w:rFonts w:ascii="Arial" w:hAnsi="Arial" w:cs="Arial"/>
              </w:rPr>
              <w:t>4</w:t>
            </w:r>
          </w:p>
        </w:tc>
        <w:tc>
          <w:tcPr>
            <w:tcW w:w="6520" w:type="dxa"/>
            <w:hideMark/>
          </w:tcPr>
          <w:p w14:paraId="21D2A03E" w14:textId="77777777" w:rsidR="00B43822" w:rsidRDefault="00B43822">
            <w:pPr>
              <w:rPr>
                <w:rFonts w:ascii="Arial" w:hAnsi="Arial" w:cs="Arial"/>
              </w:rPr>
            </w:pPr>
            <w:r>
              <w:rPr>
                <w:rFonts w:ascii="Arial" w:hAnsi="Arial" w:cs="Arial"/>
              </w:rPr>
              <w:t>Policy purpose and aims</w:t>
            </w:r>
          </w:p>
        </w:tc>
        <w:tc>
          <w:tcPr>
            <w:tcW w:w="1621" w:type="dxa"/>
            <w:hideMark/>
          </w:tcPr>
          <w:p w14:paraId="285A31C8" w14:textId="77777777" w:rsidR="00B43822" w:rsidRDefault="00995AE9">
            <w:pPr>
              <w:jc w:val="center"/>
              <w:rPr>
                <w:rFonts w:ascii="Arial" w:hAnsi="Arial" w:cs="Arial"/>
              </w:rPr>
            </w:pPr>
            <w:r>
              <w:rPr>
                <w:rFonts w:ascii="Arial" w:hAnsi="Arial" w:cs="Arial"/>
              </w:rPr>
              <w:t>6</w:t>
            </w:r>
          </w:p>
        </w:tc>
      </w:tr>
      <w:tr w:rsidR="00B43822" w14:paraId="7446BA4D" w14:textId="77777777" w:rsidTr="00B43822">
        <w:tc>
          <w:tcPr>
            <w:tcW w:w="1101" w:type="dxa"/>
            <w:hideMark/>
          </w:tcPr>
          <w:p w14:paraId="27594E03" w14:textId="77777777" w:rsidR="00B43822" w:rsidRDefault="00B43822">
            <w:pPr>
              <w:jc w:val="center"/>
              <w:rPr>
                <w:rFonts w:ascii="Arial" w:hAnsi="Arial" w:cs="Arial"/>
              </w:rPr>
            </w:pPr>
            <w:r>
              <w:rPr>
                <w:rFonts w:ascii="Arial" w:hAnsi="Arial" w:cs="Arial"/>
              </w:rPr>
              <w:t>5</w:t>
            </w:r>
          </w:p>
        </w:tc>
        <w:tc>
          <w:tcPr>
            <w:tcW w:w="6520" w:type="dxa"/>
            <w:hideMark/>
          </w:tcPr>
          <w:p w14:paraId="28128722" w14:textId="77777777" w:rsidR="00B43822" w:rsidRDefault="00B43822">
            <w:pPr>
              <w:rPr>
                <w:rFonts w:ascii="Arial" w:hAnsi="Arial" w:cs="Arial"/>
              </w:rPr>
            </w:pPr>
            <w:r>
              <w:rPr>
                <w:rFonts w:ascii="Arial" w:hAnsi="Arial" w:cs="Arial"/>
              </w:rPr>
              <w:t>Definitions</w:t>
            </w:r>
          </w:p>
        </w:tc>
        <w:tc>
          <w:tcPr>
            <w:tcW w:w="1621" w:type="dxa"/>
            <w:hideMark/>
          </w:tcPr>
          <w:p w14:paraId="69D6E61C" w14:textId="77777777" w:rsidR="00B43822" w:rsidRDefault="00995AE9">
            <w:pPr>
              <w:jc w:val="center"/>
              <w:rPr>
                <w:rFonts w:ascii="Arial" w:hAnsi="Arial" w:cs="Arial"/>
              </w:rPr>
            </w:pPr>
            <w:r>
              <w:rPr>
                <w:rFonts w:ascii="Arial" w:hAnsi="Arial" w:cs="Arial"/>
              </w:rPr>
              <w:t>7</w:t>
            </w:r>
          </w:p>
        </w:tc>
      </w:tr>
      <w:tr w:rsidR="00B43822" w14:paraId="16E04214" w14:textId="77777777" w:rsidTr="00B43822">
        <w:tc>
          <w:tcPr>
            <w:tcW w:w="1101" w:type="dxa"/>
            <w:hideMark/>
          </w:tcPr>
          <w:p w14:paraId="58661F05" w14:textId="77777777" w:rsidR="00B43822" w:rsidRDefault="00B43822">
            <w:pPr>
              <w:jc w:val="center"/>
              <w:rPr>
                <w:rFonts w:ascii="Arial" w:hAnsi="Arial" w:cs="Arial"/>
              </w:rPr>
            </w:pPr>
            <w:r>
              <w:rPr>
                <w:rFonts w:ascii="Arial" w:hAnsi="Arial" w:cs="Arial"/>
              </w:rPr>
              <w:t>6</w:t>
            </w:r>
          </w:p>
        </w:tc>
        <w:tc>
          <w:tcPr>
            <w:tcW w:w="6520" w:type="dxa"/>
            <w:hideMark/>
          </w:tcPr>
          <w:p w14:paraId="60C0F72E" w14:textId="77777777" w:rsidR="00B43822" w:rsidRDefault="00B43822">
            <w:pPr>
              <w:rPr>
                <w:rFonts w:ascii="Arial" w:hAnsi="Arial" w:cs="Arial"/>
              </w:rPr>
            </w:pPr>
            <w:r>
              <w:rPr>
                <w:rFonts w:ascii="Arial" w:hAnsi="Arial" w:cs="Arial"/>
              </w:rPr>
              <w:t>Definition of Exceptionality</w:t>
            </w:r>
          </w:p>
        </w:tc>
        <w:tc>
          <w:tcPr>
            <w:tcW w:w="1621" w:type="dxa"/>
            <w:hideMark/>
          </w:tcPr>
          <w:p w14:paraId="65D77CEB" w14:textId="77777777" w:rsidR="00B43822" w:rsidRDefault="00B43822">
            <w:pPr>
              <w:jc w:val="center"/>
              <w:rPr>
                <w:rFonts w:ascii="Arial" w:hAnsi="Arial" w:cs="Arial"/>
              </w:rPr>
            </w:pPr>
            <w:r>
              <w:rPr>
                <w:rFonts w:ascii="Arial" w:hAnsi="Arial" w:cs="Arial"/>
              </w:rPr>
              <w:t>8</w:t>
            </w:r>
          </w:p>
        </w:tc>
      </w:tr>
      <w:tr w:rsidR="00B43822" w14:paraId="07EACB55" w14:textId="77777777" w:rsidTr="00B43822">
        <w:tc>
          <w:tcPr>
            <w:tcW w:w="1101" w:type="dxa"/>
            <w:hideMark/>
          </w:tcPr>
          <w:p w14:paraId="3453B2A9" w14:textId="77777777" w:rsidR="00B43822" w:rsidRDefault="00B43822">
            <w:pPr>
              <w:jc w:val="center"/>
              <w:rPr>
                <w:rFonts w:ascii="Arial" w:hAnsi="Arial" w:cs="Arial"/>
              </w:rPr>
            </w:pPr>
            <w:r>
              <w:rPr>
                <w:rFonts w:ascii="Arial" w:hAnsi="Arial" w:cs="Arial"/>
              </w:rPr>
              <w:t>7</w:t>
            </w:r>
          </w:p>
        </w:tc>
        <w:tc>
          <w:tcPr>
            <w:tcW w:w="6520" w:type="dxa"/>
            <w:hideMark/>
          </w:tcPr>
          <w:p w14:paraId="09F9DC7B" w14:textId="77777777" w:rsidR="00B43822" w:rsidRDefault="00B43822">
            <w:pPr>
              <w:rPr>
                <w:rFonts w:ascii="Arial" w:hAnsi="Arial" w:cs="Arial"/>
              </w:rPr>
            </w:pPr>
            <w:r>
              <w:rPr>
                <w:rFonts w:ascii="Arial" w:hAnsi="Arial" w:cs="Arial"/>
              </w:rPr>
              <w:t>Requests for cross-border treatment and treatment outside the European Economic Area (EEA)</w:t>
            </w:r>
          </w:p>
        </w:tc>
        <w:tc>
          <w:tcPr>
            <w:tcW w:w="1621" w:type="dxa"/>
            <w:hideMark/>
          </w:tcPr>
          <w:p w14:paraId="518C216A" w14:textId="77777777" w:rsidR="00B43822" w:rsidRDefault="00995AE9">
            <w:pPr>
              <w:jc w:val="center"/>
              <w:rPr>
                <w:rFonts w:ascii="Arial" w:hAnsi="Arial" w:cs="Arial"/>
              </w:rPr>
            </w:pPr>
            <w:r>
              <w:rPr>
                <w:rFonts w:ascii="Arial" w:hAnsi="Arial" w:cs="Arial"/>
              </w:rPr>
              <w:t>8</w:t>
            </w:r>
          </w:p>
        </w:tc>
      </w:tr>
      <w:tr w:rsidR="00B43822" w14:paraId="6DF257EA" w14:textId="77777777" w:rsidTr="00B43822">
        <w:tc>
          <w:tcPr>
            <w:tcW w:w="1101" w:type="dxa"/>
            <w:hideMark/>
          </w:tcPr>
          <w:p w14:paraId="55873DF7" w14:textId="77777777" w:rsidR="00B43822" w:rsidRDefault="00B43822">
            <w:pPr>
              <w:jc w:val="center"/>
              <w:rPr>
                <w:rFonts w:ascii="Arial" w:hAnsi="Arial" w:cs="Arial"/>
              </w:rPr>
            </w:pPr>
            <w:r>
              <w:rPr>
                <w:rFonts w:ascii="Arial" w:hAnsi="Arial" w:cs="Arial"/>
              </w:rPr>
              <w:t>8</w:t>
            </w:r>
          </w:p>
        </w:tc>
        <w:tc>
          <w:tcPr>
            <w:tcW w:w="6520" w:type="dxa"/>
            <w:hideMark/>
          </w:tcPr>
          <w:p w14:paraId="40610E83" w14:textId="77777777" w:rsidR="00B43822" w:rsidRDefault="00B43822">
            <w:pPr>
              <w:rPr>
                <w:rFonts w:ascii="Arial" w:hAnsi="Arial" w:cs="Arial"/>
              </w:rPr>
            </w:pPr>
            <w:r>
              <w:rPr>
                <w:rFonts w:ascii="Arial" w:hAnsi="Arial" w:cs="Arial"/>
              </w:rPr>
              <w:t>Roles, Responsibilities and Duties</w:t>
            </w:r>
          </w:p>
        </w:tc>
        <w:tc>
          <w:tcPr>
            <w:tcW w:w="1621" w:type="dxa"/>
            <w:hideMark/>
          </w:tcPr>
          <w:p w14:paraId="66769300" w14:textId="77777777" w:rsidR="00B43822" w:rsidRDefault="004D17E8">
            <w:pPr>
              <w:jc w:val="center"/>
              <w:rPr>
                <w:rFonts w:ascii="Arial" w:hAnsi="Arial" w:cs="Arial"/>
              </w:rPr>
            </w:pPr>
            <w:r>
              <w:rPr>
                <w:rFonts w:ascii="Arial" w:hAnsi="Arial" w:cs="Arial"/>
              </w:rPr>
              <w:t>9</w:t>
            </w:r>
          </w:p>
        </w:tc>
      </w:tr>
      <w:tr w:rsidR="00B43822" w14:paraId="5FA1B0A8" w14:textId="77777777" w:rsidTr="00B43822">
        <w:tc>
          <w:tcPr>
            <w:tcW w:w="1101" w:type="dxa"/>
            <w:hideMark/>
          </w:tcPr>
          <w:p w14:paraId="0523A1F3" w14:textId="77777777" w:rsidR="00B43822" w:rsidRDefault="00B43822">
            <w:pPr>
              <w:jc w:val="center"/>
              <w:rPr>
                <w:rFonts w:ascii="Arial" w:hAnsi="Arial" w:cs="Arial"/>
              </w:rPr>
            </w:pPr>
            <w:r>
              <w:rPr>
                <w:rFonts w:ascii="Arial" w:hAnsi="Arial" w:cs="Arial"/>
              </w:rPr>
              <w:t>9</w:t>
            </w:r>
          </w:p>
        </w:tc>
        <w:tc>
          <w:tcPr>
            <w:tcW w:w="6520" w:type="dxa"/>
            <w:hideMark/>
          </w:tcPr>
          <w:p w14:paraId="43089728" w14:textId="77777777" w:rsidR="00B43822" w:rsidRDefault="00B43822">
            <w:pPr>
              <w:rPr>
                <w:rFonts w:ascii="Arial" w:hAnsi="Arial" w:cs="Arial"/>
              </w:rPr>
            </w:pPr>
            <w:r>
              <w:rPr>
                <w:rFonts w:ascii="Arial" w:hAnsi="Arial" w:cs="Arial"/>
              </w:rPr>
              <w:t>The Individual Funding Request Policy</w:t>
            </w:r>
          </w:p>
        </w:tc>
        <w:tc>
          <w:tcPr>
            <w:tcW w:w="1621" w:type="dxa"/>
            <w:hideMark/>
          </w:tcPr>
          <w:p w14:paraId="3B9BB5FE" w14:textId="77777777" w:rsidR="00B43822" w:rsidRDefault="00877957" w:rsidP="004D17E8">
            <w:pPr>
              <w:jc w:val="center"/>
              <w:rPr>
                <w:rFonts w:ascii="Arial" w:hAnsi="Arial" w:cs="Arial"/>
              </w:rPr>
            </w:pPr>
            <w:r>
              <w:rPr>
                <w:rFonts w:ascii="Arial" w:hAnsi="Arial" w:cs="Arial"/>
              </w:rPr>
              <w:t>9</w:t>
            </w:r>
          </w:p>
        </w:tc>
      </w:tr>
      <w:tr w:rsidR="00B43822" w14:paraId="53C7EDAE" w14:textId="77777777" w:rsidTr="00B43822">
        <w:tc>
          <w:tcPr>
            <w:tcW w:w="1101" w:type="dxa"/>
            <w:hideMark/>
          </w:tcPr>
          <w:p w14:paraId="5902FFA3" w14:textId="77777777" w:rsidR="00B43822" w:rsidRDefault="00B43822">
            <w:pPr>
              <w:jc w:val="center"/>
              <w:rPr>
                <w:rFonts w:ascii="Arial" w:hAnsi="Arial" w:cs="Arial"/>
              </w:rPr>
            </w:pPr>
            <w:r>
              <w:rPr>
                <w:rFonts w:ascii="Arial" w:hAnsi="Arial" w:cs="Arial"/>
              </w:rPr>
              <w:t>9.1</w:t>
            </w:r>
          </w:p>
        </w:tc>
        <w:tc>
          <w:tcPr>
            <w:tcW w:w="6520" w:type="dxa"/>
            <w:hideMark/>
          </w:tcPr>
          <w:p w14:paraId="6315EB8D" w14:textId="77777777" w:rsidR="00B43822" w:rsidRDefault="00B43822">
            <w:pPr>
              <w:rPr>
                <w:rFonts w:ascii="Arial" w:hAnsi="Arial" w:cs="Arial"/>
              </w:rPr>
            </w:pPr>
            <w:r>
              <w:rPr>
                <w:rFonts w:ascii="Arial" w:hAnsi="Arial" w:cs="Arial"/>
              </w:rPr>
              <w:t>Context</w:t>
            </w:r>
          </w:p>
        </w:tc>
        <w:tc>
          <w:tcPr>
            <w:tcW w:w="1621" w:type="dxa"/>
            <w:hideMark/>
          </w:tcPr>
          <w:p w14:paraId="5AFA6A2C" w14:textId="77777777" w:rsidR="00B43822" w:rsidRDefault="00877957" w:rsidP="004D17E8">
            <w:pPr>
              <w:jc w:val="center"/>
              <w:rPr>
                <w:rFonts w:ascii="Arial" w:hAnsi="Arial" w:cs="Arial"/>
              </w:rPr>
            </w:pPr>
            <w:r>
              <w:rPr>
                <w:rFonts w:ascii="Arial" w:hAnsi="Arial" w:cs="Arial"/>
              </w:rPr>
              <w:t>9</w:t>
            </w:r>
          </w:p>
        </w:tc>
      </w:tr>
      <w:tr w:rsidR="00B43822" w14:paraId="060746DB" w14:textId="77777777" w:rsidTr="00B43822">
        <w:tc>
          <w:tcPr>
            <w:tcW w:w="1101" w:type="dxa"/>
            <w:hideMark/>
          </w:tcPr>
          <w:p w14:paraId="37F601EE" w14:textId="77777777" w:rsidR="00B43822" w:rsidRDefault="00B43822">
            <w:pPr>
              <w:jc w:val="center"/>
              <w:rPr>
                <w:rFonts w:ascii="Arial" w:hAnsi="Arial" w:cs="Arial"/>
              </w:rPr>
            </w:pPr>
            <w:r>
              <w:rPr>
                <w:rFonts w:ascii="Arial" w:hAnsi="Arial" w:cs="Arial"/>
              </w:rPr>
              <w:t>9.2</w:t>
            </w:r>
          </w:p>
        </w:tc>
        <w:tc>
          <w:tcPr>
            <w:tcW w:w="6520" w:type="dxa"/>
            <w:hideMark/>
          </w:tcPr>
          <w:p w14:paraId="73B4D981" w14:textId="77777777" w:rsidR="00B43822" w:rsidRDefault="00B43822">
            <w:pPr>
              <w:rPr>
                <w:rFonts w:ascii="Arial" w:hAnsi="Arial" w:cs="Arial"/>
              </w:rPr>
            </w:pPr>
            <w:r>
              <w:rPr>
                <w:rFonts w:ascii="Arial" w:hAnsi="Arial" w:cs="Arial"/>
              </w:rPr>
              <w:t>Development of General Policies for Interventions</w:t>
            </w:r>
          </w:p>
        </w:tc>
        <w:tc>
          <w:tcPr>
            <w:tcW w:w="1621" w:type="dxa"/>
            <w:hideMark/>
          </w:tcPr>
          <w:p w14:paraId="7C092617" w14:textId="77777777" w:rsidR="00877957" w:rsidRDefault="00877957" w:rsidP="00877957">
            <w:pPr>
              <w:jc w:val="center"/>
              <w:rPr>
                <w:rFonts w:ascii="Arial" w:hAnsi="Arial" w:cs="Arial"/>
              </w:rPr>
            </w:pPr>
            <w:r>
              <w:rPr>
                <w:rFonts w:ascii="Arial" w:hAnsi="Arial" w:cs="Arial"/>
              </w:rPr>
              <w:t>9</w:t>
            </w:r>
          </w:p>
        </w:tc>
      </w:tr>
      <w:tr w:rsidR="00877957" w14:paraId="68AC87A4" w14:textId="77777777" w:rsidTr="00B43822">
        <w:tc>
          <w:tcPr>
            <w:tcW w:w="1101" w:type="dxa"/>
          </w:tcPr>
          <w:p w14:paraId="6035F4D5" w14:textId="77777777" w:rsidR="00877957" w:rsidRDefault="00877957">
            <w:pPr>
              <w:jc w:val="center"/>
              <w:rPr>
                <w:rFonts w:ascii="Arial" w:hAnsi="Arial" w:cs="Arial"/>
              </w:rPr>
            </w:pPr>
            <w:r>
              <w:rPr>
                <w:rFonts w:ascii="Arial" w:hAnsi="Arial" w:cs="Arial"/>
              </w:rPr>
              <w:t>9.3</w:t>
            </w:r>
          </w:p>
        </w:tc>
        <w:tc>
          <w:tcPr>
            <w:tcW w:w="6520" w:type="dxa"/>
          </w:tcPr>
          <w:p w14:paraId="10FE6ED7" w14:textId="77777777" w:rsidR="00877957" w:rsidRDefault="00877957">
            <w:pPr>
              <w:rPr>
                <w:rFonts w:ascii="Arial" w:hAnsi="Arial" w:cs="Arial"/>
              </w:rPr>
            </w:pPr>
            <w:r>
              <w:rPr>
                <w:rFonts w:ascii="Arial" w:hAnsi="Arial" w:cs="Arial"/>
              </w:rPr>
              <w:t>Healthcare interventions the CCG will not routinely fund</w:t>
            </w:r>
          </w:p>
        </w:tc>
        <w:tc>
          <w:tcPr>
            <w:tcW w:w="1621" w:type="dxa"/>
          </w:tcPr>
          <w:p w14:paraId="0BEEF152" w14:textId="77777777" w:rsidR="00877957" w:rsidRDefault="00877957" w:rsidP="00877957">
            <w:pPr>
              <w:jc w:val="center"/>
              <w:rPr>
                <w:rFonts w:ascii="Arial" w:hAnsi="Arial" w:cs="Arial"/>
              </w:rPr>
            </w:pPr>
            <w:r>
              <w:rPr>
                <w:rFonts w:ascii="Arial" w:hAnsi="Arial" w:cs="Arial"/>
              </w:rPr>
              <w:t>10</w:t>
            </w:r>
          </w:p>
        </w:tc>
      </w:tr>
      <w:tr w:rsidR="00B43822" w14:paraId="52DEC03B" w14:textId="77777777" w:rsidTr="00B43822">
        <w:tc>
          <w:tcPr>
            <w:tcW w:w="1101" w:type="dxa"/>
          </w:tcPr>
          <w:p w14:paraId="3DDC88E7" w14:textId="77777777" w:rsidR="00B43822" w:rsidRDefault="00B43822">
            <w:pPr>
              <w:jc w:val="center"/>
              <w:rPr>
                <w:rFonts w:ascii="Arial" w:hAnsi="Arial" w:cs="Arial"/>
                <w:b/>
              </w:rPr>
            </w:pPr>
          </w:p>
          <w:p w14:paraId="507CD617" w14:textId="77777777" w:rsidR="00B43822" w:rsidRDefault="00B43822">
            <w:pPr>
              <w:jc w:val="center"/>
              <w:rPr>
                <w:rFonts w:ascii="Arial" w:hAnsi="Arial" w:cs="Arial"/>
                <w:b/>
              </w:rPr>
            </w:pPr>
            <w:r>
              <w:rPr>
                <w:rFonts w:ascii="Arial" w:hAnsi="Arial" w:cs="Arial"/>
                <w:b/>
              </w:rPr>
              <w:t>PART B</w:t>
            </w:r>
          </w:p>
        </w:tc>
        <w:tc>
          <w:tcPr>
            <w:tcW w:w="6520" w:type="dxa"/>
          </w:tcPr>
          <w:p w14:paraId="602E17D4" w14:textId="77777777" w:rsidR="00B43822" w:rsidRDefault="00B43822">
            <w:pPr>
              <w:rPr>
                <w:rFonts w:ascii="Arial" w:hAnsi="Arial" w:cs="Arial"/>
                <w:b/>
              </w:rPr>
            </w:pPr>
          </w:p>
        </w:tc>
        <w:tc>
          <w:tcPr>
            <w:tcW w:w="1621" w:type="dxa"/>
          </w:tcPr>
          <w:p w14:paraId="63551A4C" w14:textId="77777777" w:rsidR="00B43822" w:rsidRDefault="00B43822">
            <w:pPr>
              <w:jc w:val="center"/>
              <w:rPr>
                <w:rFonts w:ascii="Arial" w:hAnsi="Arial" w:cs="Arial"/>
              </w:rPr>
            </w:pPr>
          </w:p>
        </w:tc>
      </w:tr>
      <w:tr w:rsidR="00B43822" w14:paraId="1D55433E" w14:textId="77777777" w:rsidTr="00B43822">
        <w:tc>
          <w:tcPr>
            <w:tcW w:w="1101" w:type="dxa"/>
          </w:tcPr>
          <w:p w14:paraId="4681837B" w14:textId="77777777" w:rsidR="00B43822" w:rsidRDefault="00B43822">
            <w:pPr>
              <w:jc w:val="center"/>
              <w:rPr>
                <w:rFonts w:ascii="Arial" w:hAnsi="Arial" w:cs="Arial"/>
              </w:rPr>
            </w:pPr>
          </w:p>
        </w:tc>
        <w:tc>
          <w:tcPr>
            <w:tcW w:w="6520" w:type="dxa"/>
            <w:hideMark/>
          </w:tcPr>
          <w:p w14:paraId="719DDCAC" w14:textId="77777777" w:rsidR="00B43822" w:rsidRDefault="00B43822">
            <w:pPr>
              <w:rPr>
                <w:rFonts w:ascii="Arial" w:hAnsi="Arial" w:cs="Arial"/>
              </w:rPr>
            </w:pPr>
            <w:r>
              <w:rPr>
                <w:rFonts w:ascii="Arial" w:hAnsi="Arial" w:cs="Arial"/>
              </w:rPr>
              <w:t>NORTH EAST LINCOLNSHIRE CCG INDIVIDUAL FUNDING REQUEST PANEL</w:t>
            </w:r>
          </w:p>
        </w:tc>
        <w:tc>
          <w:tcPr>
            <w:tcW w:w="1621" w:type="dxa"/>
          </w:tcPr>
          <w:p w14:paraId="5027AE44" w14:textId="77777777" w:rsidR="00B43822" w:rsidRDefault="00B43822">
            <w:pPr>
              <w:jc w:val="center"/>
              <w:rPr>
                <w:rFonts w:ascii="Arial" w:hAnsi="Arial" w:cs="Arial"/>
              </w:rPr>
            </w:pPr>
          </w:p>
        </w:tc>
      </w:tr>
      <w:tr w:rsidR="00B43822" w14:paraId="2D671656" w14:textId="77777777" w:rsidTr="00B43822">
        <w:tc>
          <w:tcPr>
            <w:tcW w:w="1101" w:type="dxa"/>
            <w:hideMark/>
          </w:tcPr>
          <w:p w14:paraId="6B016183" w14:textId="77777777" w:rsidR="00B43822" w:rsidRDefault="00B43822">
            <w:pPr>
              <w:jc w:val="center"/>
              <w:rPr>
                <w:rFonts w:ascii="Arial" w:hAnsi="Arial" w:cs="Arial"/>
              </w:rPr>
            </w:pPr>
            <w:r>
              <w:rPr>
                <w:rFonts w:ascii="Arial" w:hAnsi="Arial" w:cs="Arial"/>
              </w:rPr>
              <w:t>1</w:t>
            </w:r>
          </w:p>
        </w:tc>
        <w:tc>
          <w:tcPr>
            <w:tcW w:w="6520" w:type="dxa"/>
            <w:hideMark/>
          </w:tcPr>
          <w:p w14:paraId="2F06BD13" w14:textId="77777777" w:rsidR="00B43822" w:rsidRDefault="00B43822">
            <w:pPr>
              <w:rPr>
                <w:rFonts w:ascii="Arial" w:hAnsi="Arial" w:cs="Arial"/>
              </w:rPr>
            </w:pPr>
            <w:r>
              <w:rPr>
                <w:rFonts w:ascii="Arial" w:hAnsi="Arial" w:cs="Arial"/>
              </w:rPr>
              <w:t>Purpose</w:t>
            </w:r>
          </w:p>
        </w:tc>
        <w:tc>
          <w:tcPr>
            <w:tcW w:w="1621" w:type="dxa"/>
            <w:hideMark/>
          </w:tcPr>
          <w:p w14:paraId="30905DB1" w14:textId="77777777" w:rsidR="00B43822" w:rsidRDefault="00B43822" w:rsidP="00D93C21">
            <w:pPr>
              <w:jc w:val="center"/>
              <w:rPr>
                <w:rFonts w:ascii="Arial" w:hAnsi="Arial" w:cs="Arial"/>
              </w:rPr>
            </w:pPr>
            <w:r>
              <w:rPr>
                <w:rFonts w:ascii="Arial" w:hAnsi="Arial" w:cs="Arial"/>
              </w:rPr>
              <w:t>1</w:t>
            </w:r>
            <w:r w:rsidR="004D17E8">
              <w:rPr>
                <w:rFonts w:ascii="Arial" w:hAnsi="Arial" w:cs="Arial"/>
              </w:rPr>
              <w:t>1</w:t>
            </w:r>
          </w:p>
        </w:tc>
      </w:tr>
      <w:tr w:rsidR="00B43822" w14:paraId="49E7378C" w14:textId="77777777" w:rsidTr="00B43822">
        <w:tc>
          <w:tcPr>
            <w:tcW w:w="1101" w:type="dxa"/>
            <w:hideMark/>
          </w:tcPr>
          <w:p w14:paraId="66D09C35" w14:textId="77777777" w:rsidR="00B43822" w:rsidRDefault="00B43822">
            <w:pPr>
              <w:jc w:val="center"/>
              <w:rPr>
                <w:rFonts w:ascii="Arial" w:hAnsi="Arial" w:cs="Arial"/>
              </w:rPr>
            </w:pPr>
            <w:r>
              <w:rPr>
                <w:rFonts w:ascii="Arial" w:hAnsi="Arial" w:cs="Arial"/>
              </w:rPr>
              <w:t>2</w:t>
            </w:r>
          </w:p>
        </w:tc>
        <w:tc>
          <w:tcPr>
            <w:tcW w:w="6520" w:type="dxa"/>
            <w:hideMark/>
          </w:tcPr>
          <w:p w14:paraId="6C059B95" w14:textId="77777777" w:rsidR="00B43822" w:rsidRDefault="00B43822">
            <w:pPr>
              <w:rPr>
                <w:rFonts w:ascii="Arial" w:hAnsi="Arial" w:cs="Arial"/>
              </w:rPr>
            </w:pPr>
            <w:r>
              <w:rPr>
                <w:rFonts w:ascii="Arial" w:hAnsi="Arial" w:cs="Arial"/>
              </w:rPr>
              <w:t>Definitions</w:t>
            </w:r>
          </w:p>
        </w:tc>
        <w:tc>
          <w:tcPr>
            <w:tcW w:w="1621" w:type="dxa"/>
            <w:hideMark/>
          </w:tcPr>
          <w:p w14:paraId="2E2E8669" w14:textId="77777777" w:rsidR="00B43822" w:rsidRDefault="00B43822" w:rsidP="00D93C21">
            <w:pPr>
              <w:jc w:val="center"/>
              <w:rPr>
                <w:rFonts w:ascii="Arial" w:hAnsi="Arial" w:cs="Arial"/>
              </w:rPr>
            </w:pPr>
            <w:r>
              <w:rPr>
                <w:rFonts w:ascii="Arial" w:hAnsi="Arial" w:cs="Arial"/>
              </w:rPr>
              <w:t>1</w:t>
            </w:r>
            <w:r w:rsidR="00131BC9">
              <w:rPr>
                <w:rFonts w:ascii="Arial" w:hAnsi="Arial" w:cs="Arial"/>
              </w:rPr>
              <w:t>1</w:t>
            </w:r>
          </w:p>
        </w:tc>
      </w:tr>
      <w:tr w:rsidR="00B43822" w14:paraId="53B18C2E" w14:textId="77777777" w:rsidTr="00B43822">
        <w:tc>
          <w:tcPr>
            <w:tcW w:w="1101" w:type="dxa"/>
            <w:hideMark/>
          </w:tcPr>
          <w:p w14:paraId="464AC1B0" w14:textId="77777777" w:rsidR="00B43822" w:rsidRDefault="00B43822">
            <w:pPr>
              <w:jc w:val="center"/>
              <w:rPr>
                <w:rFonts w:ascii="Arial" w:hAnsi="Arial" w:cs="Arial"/>
              </w:rPr>
            </w:pPr>
            <w:r>
              <w:rPr>
                <w:rFonts w:ascii="Arial" w:hAnsi="Arial" w:cs="Arial"/>
              </w:rPr>
              <w:t>3</w:t>
            </w:r>
          </w:p>
        </w:tc>
        <w:tc>
          <w:tcPr>
            <w:tcW w:w="6520" w:type="dxa"/>
            <w:hideMark/>
          </w:tcPr>
          <w:p w14:paraId="3CF54FE2" w14:textId="77777777" w:rsidR="00B43822" w:rsidRDefault="00B43822">
            <w:pPr>
              <w:rPr>
                <w:rFonts w:ascii="Arial" w:hAnsi="Arial" w:cs="Arial"/>
              </w:rPr>
            </w:pPr>
            <w:r>
              <w:rPr>
                <w:rFonts w:ascii="Arial" w:hAnsi="Arial" w:cs="Arial"/>
              </w:rPr>
              <w:t xml:space="preserve">Specialist Service Requests  </w:t>
            </w:r>
          </w:p>
        </w:tc>
        <w:tc>
          <w:tcPr>
            <w:tcW w:w="1621" w:type="dxa"/>
            <w:hideMark/>
          </w:tcPr>
          <w:p w14:paraId="2A066DDD" w14:textId="77777777" w:rsidR="00B43822" w:rsidRDefault="00B43822" w:rsidP="00D93C21">
            <w:pPr>
              <w:jc w:val="center"/>
              <w:rPr>
                <w:rFonts w:ascii="Arial" w:hAnsi="Arial" w:cs="Arial"/>
              </w:rPr>
            </w:pPr>
            <w:r>
              <w:rPr>
                <w:rFonts w:ascii="Arial" w:hAnsi="Arial" w:cs="Arial"/>
              </w:rPr>
              <w:t>1</w:t>
            </w:r>
            <w:r w:rsidR="00131BC9">
              <w:rPr>
                <w:rFonts w:ascii="Arial" w:hAnsi="Arial" w:cs="Arial"/>
              </w:rPr>
              <w:t>2</w:t>
            </w:r>
          </w:p>
        </w:tc>
      </w:tr>
      <w:tr w:rsidR="00B43822" w14:paraId="64382378" w14:textId="77777777" w:rsidTr="00B43822">
        <w:tc>
          <w:tcPr>
            <w:tcW w:w="1101" w:type="dxa"/>
            <w:hideMark/>
          </w:tcPr>
          <w:p w14:paraId="5D5B92D5" w14:textId="77777777" w:rsidR="00B43822" w:rsidRDefault="00B43822">
            <w:pPr>
              <w:jc w:val="center"/>
              <w:rPr>
                <w:rFonts w:ascii="Arial" w:hAnsi="Arial" w:cs="Arial"/>
              </w:rPr>
            </w:pPr>
            <w:r>
              <w:rPr>
                <w:rFonts w:ascii="Arial" w:hAnsi="Arial" w:cs="Arial"/>
              </w:rPr>
              <w:t>4</w:t>
            </w:r>
          </w:p>
        </w:tc>
        <w:tc>
          <w:tcPr>
            <w:tcW w:w="6520" w:type="dxa"/>
            <w:hideMark/>
          </w:tcPr>
          <w:p w14:paraId="1D1CD238" w14:textId="77777777" w:rsidR="00B43822" w:rsidRDefault="00B43822">
            <w:pPr>
              <w:rPr>
                <w:rFonts w:ascii="Arial" w:hAnsi="Arial" w:cs="Arial"/>
              </w:rPr>
            </w:pPr>
            <w:r>
              <w:rPr>
                <w:rFonts w:ascii="Arial" w:hAnsi="Arial" w:cs="Arial"/>
              </w:rPr>
              <w:t>IFR Decision Making Process</w:t>
            </w:r>
          </w:p>
        </w:tc>
        <w:tc>
          <w:tcPr>
            <w:tcW w:w="1621" w:type="dxa"/>
            <w:hideMark/>
          </w:tcPr>
          <w:p w14:paraId="75B963D7" w14:textId="77777777" w:rsidR="00B43822" w:rsidRDefault="00B43822" w:rsidP="00D93C21">
            <w:pPr>
              <w:jc w:val="center"/>
              <w:rPr>
                <w:rFonts w:ascii="Arial" w:hAnsi="Arial" w:cs="Arial"/>
              </w:rPr>
            </w:pPr>
            <w:r>
              <w:rPr>
                <w:rFonts w:ascii="Arial" w:hAnsi="Arial" w:cs="Arial"/>
              </w:rPr>
              <w:t>1</w:t>
            </w:r>
            <w:r w:rsidR="00131BC9">
              <w:rPr>
                <w:rFonts w:ascii="Arial" w:hAnsi="Arial" w:cs="Arial"/>
              </w:rPr>
              <w:t>2</w:t>
            </w:r>
          </w:p>
        </w:tc>
      </w:tr>
      <w:tr w:rsidR="00B43822" w14:paraId="72A31B18" w14:textId="77777777" w:rsidTr="00B43822">
        <w:trPr>
          <w:trHeight w:val="68"/>
        </w:trPr>
        <w:tc>
          <w:tcPr>
            <w:tcW w:w="1101" w:type="dxa"/>
            <w:hideMark/>
          </w:tcPr>
          <w:p w14:paraId="58B58FE1" w14:textId="77777777" w:rsidR="00B43822" w:rsidRDefault="00B43822">
            <w:pPr>
              <w:jc w:val="center"/>
              <w:rPr>
                <w:rFonts w:ascii="Arial" w:hAnsi="Arial" w:cs="Arial"/>
              </w:rPr>
            </w:pPr>
            <w:r>
              <w:rPr>
                <w:rFonts w:ascii="Arial" w:hAnsi="Arial" w:cs="Arial"/>
              </w:rPr>
              <w:t>5</w:t>
            </w:r>
          </w:p>
        </w:tc>
        <w:tc>
          <w:tcPr>
            <w:tcW w:w="6520" w:type="dxa"/>
            <w:hideMark/>
          </w:tcPr>
          <w:p w14:paraId="485D8A0C" w14:textId="77777777" w:rsidR="00B43822" w:rsidRDefault="00B43822">
            <w:pPr>
              <w:rPr>
                <w:rFonts w:ascii="Arial" w:hAnsi="Arial" w:cs="Arial"/>
              </w:rPr>
            </w:pPr>
            <w:r>
              <w:rPr>
                <w:rFonts w:ascii="Arial" w:hAnsi="Arial" w:cs="Arial"/>
              </w:rPr>
              <w:t>CCG IFR Panel</w:t>
            </w:r>
          </w:p>
        </w:tc>
        <w:tc>
          <w:tcPr>
            <w:tcW w:w="1621" w:type="dxa"/>
            <w:hideMark/>
          </w:tcPr>
          <w:p w14:paraId="4785C9FF" w14:textId="77777777" w:rsidR="00B43822" w:rsidRDefault="00B43822" w:rsidP="00D93C21">
            <w:pPr>
              <w:jc w:val="center"/>
              <w:rPr>
                <w:rFonts w:ascii="Arial" w:hAnsi="Arial" w:cs="Arial"/>
              </w:rPr>
            </w:pPr>
            <w:r>
              <w:rPr>
                <w:rFonts w:ascii="Arial" w:hAnsi="Arial" w:cs="Arial"/>
              </w:rPr>
              <w:t>1</w:t>
            </w:r>
            <w:r w:rsidR="00131BC9">
              <w:rPr>
                <w:rFonts w:ascii="Arial" w:hAnsi="Arial" w:cs="Arial"/>
              </w:rPr>
              <w:t>3</w:t>
            </w:r>
          </w:p>
        </w:tc>
      </w:tr>
      <w:tr w:rsidR="00B43822" w14:paraId="10C54FD0" w14:textId="77777777" w:rsidTr="00B43822">
        <w:tc>
          <w:tcPr>
            <w:tcW w:w="1101" w:type="dxa"/>
            <w:hideMark/>
          </w:tcPr>
          <w:p w14:paraId="7653514A" w14:textId="77777777" w:rsidR="00B43822" w:rsidRDefault="00B43822">
            <w:pPr>
              <w:jc w:val="center"/>
              <w:rPr>
                <w:rFonts w:ascii="Arial" w:hAnsi="Arial" w:cs="Arial"/>
              </w:rPr>
            </w:pPr>
            <w:r>
              <w:rPr>
                <w:rFonts w:ascii="Arial" w:hAnsi="Arial" w:cs="Arial"/>
              </w:rPr>
              <w:t>6</w:t>
            </w:r>
          </w:p>
        </w:tc>
        <w:tc>
          <w:tcPr>
            <w:tcW w:w="6520" w:type="dxa"/>
            <w:hideMark/>
          </w:tcPr>
          <w:p w14:paraId="75628189" w14:textId="77777777" w:rsidR="00B43822" w:rsidRDefault="00B43822">
            <w:pPr>
              <w:rPr>
                <w:rFonts w:ascii="Arial" w:hAnsi="Arial" w:cs="Arial"/>
              </w:rPr>
            </w:pPr>
            <w:r>
              <w:rPr>
                <w:rFonts w:ascii="Arial" w:hAnsi="Arial" w:cs="Arial"/>
              </w:rPr>
              <w:t>Appeal Process</w:t>
            </w:r>
          </w:p>
        </w:tc>
        <w:tc>
          <w:tcPr>
            <w:tcW w:w="1621" w:type="dxa"/>
            <w:hideMark/>
          </w:tcPr>
          <w:p w14:paraId="5F105622" w14:textId="77777777" w:rsidR="00B43822" w:rsidRDefault="00B43822" w:rsidP="00D93C21">
            <w:pPr>
              <w:jc w:val="center"/>
              <w:rPr>
                <w:rFonts w:ascii="Arial" w:hAnsi="Arial" w:cs="Arial"/>
              </w:rPr>
            </w:pPr>
            <w:r>
              <w:rPr>
                <w:rFonts w:ascii="Arial" w:hAnsi="Arial" w:cs="Arial"/>
              </w:rPr>
              <w:t>1</w:t>
            </w:r>
            <w:r w:rsidR="00131BC9">
              <w:rPr>
                <w:rFonts w:ascii="Arial" w:hAnsi="Arial" w:cs="Arial"/>
              </w:rPr>
              <w:t>3</w:t>
            </w:r>
          </w:p>
        </w:tc>
      </w:tr>
      <w:tr w:rsidR="00B43822" w14:paraId="4B7A434A" w14:textId="77777777" w:rsidTr="00B43822">
        <w:tc>
          <w:tcPr>
            <w:tcW w:w="1101" w:type="dxa"/>
            <w:hideMark/>
          </w:tcPr>
          <w:p w14:paraId="7C93A2E5" w14:textId="77777777" w:rsidR="00B43822" w:rsidRDefault="00B43822">
            <w:pPr>
              <w:jc w:val="center"/>
              <w:rPr>
                <w:rFonts w:ascii="Arial" w:hAnsi="Arial" w:cs="Arial"/>
              </w:rPr>
            </w:pPr>
            <w:r>
              <w:rPr>
                <w:rFonts w:ascii="Arial" w:hAnsi="Arial" w:cs="Arial"/>
              </w:rPr>
              <w:t>7</w:t>
            </w:r>
          </w:p>
        </w:tc>
        <w:tc>
          <w:tcPr>
            <w:tcW w:w="6520" w:type="dxa"/>
            <w:hideMark/>
          </w:tcPr>
          <w:p w14:paraId="46DD1E35" w14:textId="77777777" w:rsidR="00B43822" w:rsidRDefault="00B43822">
            <w:pPr>
              <w:rPr>
                <w:rFonts w:ascii="Arial" w:hAnsi="Arial" w:cs="Arial"/>
              </w:rPr>
            </w:pPr>
            <w:r>
              <w:rPr>
                <w:rFonts w:ascii="Arial" w:hAnsi="Arial" w:cs="Arial"/>
              </w:rPr>
              <w:t>IFR panels</w:t>
            </w:r>
          </w:p>
        </w:tc>
        <w:tc>
          <w:tcPr>
            <w:tcW w:w="1621" w:type="dxa"/>
            <w:hideMark/>
          </w:tcPr>
          <w:p w14:paraId="2BDCAA33" w14:textId="77777777" w:rsidR="00B43822" w:rsidRDefault="004D17E8" w:rsidP="00D93C21">
            <w:pPr>
              <w:jc w:val="center"/>
              <w:rPr>
                <w:rFonts w:ascii="Arial" w:hAnsi="Arial" w:cs="Arial"/>
              </w:rPr>
            </w:pPr>
            <w:r>
              <w:rPr>
                <w:rFonts w:ascii="Arial" w:hAnsi="Arial" w:cs="Arial"/>
              </w:rPr>
              <w:t>15</w:t>
            </w:r>
          </w:p>
        </w:tc>
      </w:tr>
      <w:tr w:rsidR="00B43822" w14:paraId="7C497CD4" w14:textId="77777777" w:rsidTr="00B43822">
        <w:trPr>
          <w:trHeight w:val="70"/>
        </w:trPr>
        <w:tc>
          <w:tcPr>
            <w:tcW w:w="1101" w:type="dxa"/>
            <w:hideMark/>
          </w:tcPr>
          <w:p w14:paraId="2C7442C7" w14:textId="77777777" w:rsidR="00B43822" w:rsidRDefault="00B43822">
            <w:pPr>
              <w:jc w:val="center"/>
              <w:rPr>
                <w:rFonts w:ascii="Arial" w:hAnsi="Arial" w:cs="Arial"/>
              </w:rPr>
            </w:pPr>
            <w:r>
              <w:rPr>
                <w:rFonts w:ascii="Arial" w:hAnsi="Arial" w:cs="Arial"/>
              </w:rPr>
              <w:t>8</w:t>
            </w:r>
          </w:p>
        </w:tc>
        <w:tc>
          <w:tcPr>
            <w:tcW w:w="6520" w:type="dxa"/>
            <w:hideMark/>
          </w:tcPr>
          <w:p w14:paraId="03329E6B" w14:textId="77777777" w:rsidR="00B43822" w:rsidRDefault="00B43822">
            <w:pPr>
              <w:rPr>
                <w:rFonts w:ascii="Arial" w:hAnsi="Arial" w:cs="Arial"/>
              </w:rPr>
            </w:pPr>
            <w:r>
              <w:rPr>
                <w:rFonts w:ascii="Arial" w:hAnsi="Arial" w:cs="Arial"/>
              </w:rPr>
              <w:t>FOI &amp; Complaints</w:t>
            </w:r>
          </w:p>
        </w:tc>
        <w:tc>
          <w:tcPr>
            <w:tcW w:w="1621" w:type="dxa"/>
            <w:hideMark/>
          </w:tcPr>
          <w:p w14:paraId="47F42558" w14:textId="77777777" w:rsidR="00B43822" w:rsidRDefault="00131BC9" w:rsidP="00D93C21">
            <w:pPr>
              <w:jc w:val="center"/>
              <w:rPr>
                <w:rFonts w:ascii="Arial" w:hAnsi="Arial" w:cs="Arial"/>
              </w:rPr>
            </w:pPr>
            <w:r>
              <w:rPr>
                <w:rFonts w:ascii="Arial" w:hAnsi="Arial" w:cs="Arial"/>
              </w:rPr>
              <w:t>15</w:t>
            </w:r>
          </w:p>
        </w:tc>
      </w:tr>
      <w:tr w:rsidR="00B43822" w14:paraId="7995C00E" w14:textId="77777777" w:rsidTr="00B43822">
        <w:tc>
          <w:tcPr>
            <w:tcW w:w="1101" w:type="dxa"/>
            <w:hideMark/>
          </w:tcPr>
          <w:p w14:paraId="2A46DC62" w14:textId="77777777" w:rsidR="00B43822" w:rsidRDefault="00B43822">
            <w:pPr>
              <w:jc w:val="center"/>
              <w:rPr>
                <w:rFonts w:ascii="Arial" w:hAnsi="Arial" w:cs="Arial"/>
              </w:rPr>
            </w:pPr>
            <w:r>
              <w:rPr>
                <w:rFonts w:ascii="Arial" w:hAnsi="Arial" w:cs="Arial"/>
              </w:rPr>
              <w:t>9</w:t>
            </w:r>
          </w:p>
        </w:tc>
        <w:tc>
          <w:tcPr>
            <w:tcW w:w="6520" w:type="dxa"/>
            <w:hideMark/>
          </w:tcPr>
          <w:p w14:paraId="7B816FBE" w14:textId="77777777" w:rsidR="00B43822" w:rsidRDefault="004D17E8">
            <w:pPr>
              <w:rPr>
                <w:rFonts w:ascii="Arial" w:hAnsi="Arial" w:cs="Arial"/>
              </w:rPr>
            </w:pPr>
            <w:r w:rsidRPr="004D17E8">
              <w:rPr>
                <w:rFonts w:ascii="Arial" w:hAnsi="Arial" w:cs="Arial"/>
              </w:rPr>
              <w:t>FUNDING POLICIES COMMISSIONING STATEMENTS</w:t>
            </w:r>
          </w:p>
        </w:tc>
        <w:tc>
          <w:tcPr>
            <w:tcW w:w="1621" w:type="dxa"/>
            <w:hideMark/>
          </w:tcPr>
          <w:p w14:paraId="2FA8CB8D" w14:textId="77777777" w:rsidR="00B43822" w:rsidRDefault="00A90876" w:rsidP="00D93C21">
            <w:pPr>
              <w:jc w:val="center"/>
              <w:rPr>
                <w:rFonts w:ascii="Arial" w:hAnsi="Arial" w:cs="Arial"/>
              </w:rPr>
            </w:pPr>
            <w:r>
              <w:rPr>
                <w:rFonts w:ascii="Arial" w:hAnsi="Arial" w:cs="Arial"/>
              </w:rPr>
              <w:t>15</w:t>
            </w:r>
          </w:p>
        </w:tc>
      </w:tr>
      <w:tr w:rsidR="00B43822" w14:paraId="5A3DD299" w14:textId="77777777" w:rsidTr="00B43822">
        <w:tc>
          <w:tcPr>
            <w:tcW w:w="1101" w:type="dxa"/>
          </w:tcPr>
          <w:p w14:paraId="00F5BF24" w14:textId="77777777" w:rsidR="00B43822" w:rsidRDefault="00B43822">
            <w:pPr>
              <w:jc w:val="center"/>
              <w:rPr>
                <w:rFonts w:ascii="Arial" w:hAnsi="Arial" w:cs="Arial"/>
              </w:rPr>
            </w:pPr>
          </w:p>
        </w:tc>
        <w:tc>
          <w:tcPr>
            <w:tcW w:w="6520" w:type="dxa"/>
          </w:tcPr>
          <w:p w14:paraId="6EB28AD6" w14:textId="77777777" w:rsidR="00B43822" w:rsidRDefault="00B43822">
            <w:pPr>
              <w:rPr>
                <w:rFonts w:ascii="Arial" w:hAnsi="Arial" w:cs="Arial"/>
              </w:rPr>
            </w:pPr>
          </w:p>
        </w:tc>
        <w:tc>
          <w:tcPr>
            <w:tcW w:w="1621" w:type="dxa"/>
          </w:tcPr>
          <w:p w14:paraId="52852DE0" w14:textId="77777777" w:rsidR="00B43822" w:rsidRDefault="00B43822">
            <w:pPr>
              <w:jc w:val="center"/>
              <w:rPr>
                <w:rFonts w:ascii="Arial" w:hAnsi="Arial" w:cs="Arial"/>
              </w:rPr>
            </w:pPr>
          </w:p>
        </w:tc>
      </w:tr>
      <w:tr w:rsidR="00B43822" w14:paraId="69B52772" w14:textId="77777777" w:rsidTr="00B43822">
        <w:tc>
          <w:tcPr>
            <w:tcW w:w="1101" w:type="dxa"/>
          </w:tcPr>
          <w:p w14:paraId="10C52AD3" w14:textId="77777777" w:rsidR="00B43822" w:rsidRDefault="00B43822">
            <w:pPr>
              <w:jc w:val="center"/>
              <w:rPr>
                <w:rFonts w:ascii="Arial" w:hAnsi="Arial" w:cs="Arial"/>
              </w:rPr>
            </w:pPr>
          </w:p>
        </w:tc>
        <w:tc>
          <w:tcPr>
            <w:tcW w:w="6520" w:type="dxa"/>
            <w:hideMark/>
          </w:tcPr>
          <w:p w14:paraId="7708A210" w14:textId="77777777" w:rsidR="00B43822" w:rsidRDefault="00B43822">
            <w:pPr>
              <w:rPr>
                <w:rFonts w:ascii="Arial" w:hAnsi="Arial" w:cs="Arial"/>
              </w:rPr>
            </w:pPr>
            <w:r>
              <w:rPr>
                <w:rFonts w:ascii="Arial" w:hAnsi="Arial" w:cs="Arial"/>
              </w:rPr>
              <w:t>Appendix 1 IFR process Chart</w:t>
            </w:r>
          </w:p>
        </w:tc>
        <w:tc>
          <w:tcPr>
            <w:tcW w:w="1621" w:type="dxa"/>
            <w:hideMark/>
          </w:tcPr>
          <w:p w14:paraId="213E2F9C" w14:textId="77777777" w:rsidR="00B43822" w:rsidRDefault="00B43822" w:rsidP="00D93C21">
            <w:pPr>
              <w:jc w:val="center"/>
              <w:rPr>
                <w:rFonts w:ascii="Arial" w:hAnsi="Arial" w:cs="Arial"/>
              </w:rPr>
            </w:pPr>
            <w:r>
              <w:rPr>
                <w:rFonts w:ascii="Arial" w:hAnsi="Arial" w:cs="Arial"/>
              </w:rPr>
              <w:t>1</w:t>
            </w:r>
            <w:r w:rsidR="00A90876">
              <w:rPr>
                <w:rFonts w:ascii="Arial" w:hAnsi="Arial" w:cs="Arial"/>
              </w:rPr>
              <w:t>6</w:t>
            </w:r>
          </w:p>
        </w:tc>
      </w:tr>
      <w:tr w:rsidR="00B43822" w14:paraId="723CEC32" w14:textId="77777777" w:rsidTr="00B43822">
        <w:tc>
          <w:tcPr>
            <w:tcW w:w="1101" w:type="dxa"/>
          </w:tcPr>
          <w:p w14:paraId="65B72DF5" w14:textId="77777777" w:rsidR="00B43822" w:rsidRDefault="00B43822">
            <w:pPr>
              <w:jc w:val="center"/>
              <w:rPr>
                <w:rFonts w:ascii="Arial" w:hAnsi="Arial" w:cs="Arial"/>
              </w:rPr>
            </w:pPr>
          </w:p>
        </w:tc>
        <w:tc>
          <w:tcPr>
            <w:tcW w:w="6520" w:type="dxa"/>
            <w:hideMark/>
          </w:tcPr>
          <w:p w14:paraId="3F6AFF46" w14:textId="77777777" w:rsidR="00B43822" w:rsidRDefault="00B43822">
            <w:pPr>
              <w:rPr>
                <w:rFonts w:ascii="Arial" w:hAnsi="Arial" w:cs="Arial"/>
              </w:rPr>
            </w:pPr>
            <w:r>
              <w:rPr>
                <w:rFonts w:ascii="Arial" w:hAnsi="Arial" w:cs="Arial"/>
              </w:rPr>
              <w:t>Appendix 2 IFR Appeals Chart</w:t>
            </w:r>
          </w:p>
        </w:tc>
        <w:tc>
          <w:tcPr>
            <w:tcW w:w="1621" w:type="dxa"/>
            <w:hideMark/>
          </w:tcPr>
          <w:p w14:paraId="06CFF028" w14:textId="77777777" w:rsidR="00B43822" w:rsidRDefault="00B43822" w:rsidP="00D93C21">
            <w:pPr>
              <w:jc w:val="center"/>
              <w:rPr>
                <w:rFonts w:ascii="Arial" w:hAnsi="Arial" w:cs="Arial"/>
              </w:rPr>
            </w:pPr>
            <w:r>
              <w:rPr>
                <w:rFonts w:ascii="Arial" w:hAnsi="Arial" w:cs="Arial"/>
              </w:rPr>
              <w:t>1</w:t>
            </w:r>
            <w:r w:rsidR="00A90876">
              <w:rPr>
                <w:rFonts w:ascii="Arial" w:hAnsi="Arial" w:cs="Arial"/>
              </w:rPr>
              <w:t>7</w:t>
            </w:r>
          </w:p>
        </w:tc>
      </w:tr>
      <w:tr w:rsidR="00B43822" w14:paraId="3EB87E2F" w14:textId="77777777" w:rsidTr="00B43822">
        <w:tc>
          <w:tcPr>
            <w:tcW w:w="1101" w:type="dxa"/>
          </w:tcPr>
          <w:p w14:paraId="263E26D0" w14:textId="77777777" w:rsidR="00B43822" w:rsidRDefault="00B43822">
            <w:pPr>
              <w:jc w:val="center"/>
              <w:rPr>
                <w:rFonts w:ascii="Arial" w:hAnsi="Arial" w:cs="Arial"/>
              </w:rPr>
            </w:pPr>
          </w:p>
        </w:tc>
        <w:tc>
          <w:tcPr>
            <w:tcW w:w="6520" w:type="dxa"/>
            <w:hideMark/>
          </w:tcPr>
          <w:p w14:paraId="3963BBBA" w14:textId="77777777" w:rsidR="00B43822" w:rsidRDefault="00B43822">
            <w:pPr>
              <w:rPr>
                <w:rFonts w:ascii="Arial" w:hAnsi="Arial" w:cs="Arial"/>
              </w:rPr>
            </w:pPr>
            <w:r>
              <w:rPr>
                <w:rFonts w:ascii="Arial" w:hAnsi="Arial" w:cs="Arial"/>
              </w:rPr>
              <w:t xml:space="preserve">Appendix 3 </w:t>
            </w:r>
            <w:r w:rsidR="005B72F1">
              <w:t xml:space="preserve"> </w:t>
            </w:r>
            <w:r w:rsidR="005B72F1" w:rsidRPr="005B72F1">
              <w:rPr>
                <w:rFonts w:ascii="Arial" w:hAnsi="Arial" w:cs="Arial"/>
              </w:rPr>
              <w:t xml:space="preserve">Humber CCG aligned policy </w:t>
            </w:r>
            <w:proofErr w:type="gramStart"/>
            <w:r w:rsidR="005B72F1" w:rsidRPr="005B72F1">
              <w:rPr>
                <w:rFonts w:ascii="Arial" w:hAnsi="Arial" w:cs="Arial"/>
              </w:rPr>
              <w:t>statements</w:t>
            </w:r>
            <w:proofErr w:type="gramEnd"/>
          </w:p>
          <w:p w14:paraId="422590F5" w14:textId="77777777" w:rsidR="00B43822" w:rsidRDefault="00B43822">
            <w:pPr>
              <w:rPr>
                <w:rFonts w:ascii="Arial" w:hAnsi="Arial" w:cs="Arial"/>
              </w:rPr>
            </w:pPr>
            <w:r>
              <w:rPr>
                <w:rFonts w:ascii="Arial" w:hAnsi="Arial" w:cs="Arial"/>
              </w:rPr>
              <w:t xml:space="preserve">                                                          </w:t>
            </w:r>
          </w:p>
        </w:tc>
        <w:tc>
          <w:tcPr>
            <w:tcW w:w="1621" w:type="dxa"/>
            <w:hideMark/>
          </w:tcPr>
          <w:p w14:paraId="3636DE4C" w14:textId="77777777" w:rsidR="00B43822" w:rsidRDefault="00C76857" w:rsidP="00D93C21">
            <w:pPr>
              <w:jc w:val="center"/>
              <w:rPr>
                <w:rFonts w:ascii="Arial" w:hAnsi="Arial" w:cs="Arial"/>
              </w:rPr>
            </w:pPr>
            <w:r>
              <w:rPr>
                <w:rFonts w:ascii="Arial" w:hAnsi="Arial" w:cs="Arial"/>
              </w:rPr>
              <w:t>1</w:t>
            </w:r>
            <w:r w:rsidR="00A90876">
              <w:rPr>
                <w:rFonts w:ascii="Arial" w:hAnsi="Arial" w:cs="Arial"/>
              </w:rPr>
              <w:t>8</w:t>
            </w:r>
          </w:p>
          <w:p w14:paraId="71FAD489" w14:textId="77777777" w:rsidR="00832178" w:rsidRDefault="00832178" w:rsidP="00D93C21">
            <w:pPr>
              <w:jc w:val="center"/>
              <w:rPr>
                <w:rFonts w:ascii="Arial" w:hAnsi="Arial" w:cs="Arial"/>
              </w:rPr>
            </w:pPr>
          </w:p>
        </w:tc>
      </w:tr>
    </w:tbl>
    <w:p w14:paraId="46CDB900" w14:textId="77777777" w:rsidR="00B43822" w:rsidRDefault="00B43822" w:rsidP="00B43822">
      <w:pPr>
        <w:spacing w:after="0" w:line="240" w:lineRule="auto"/>
        <w:rPr>
          <w:rFonts w:ascii="Arial" w:hAnsi="Arial" w:cs="Arial"/>
        </w:rPr>
      </w:pPr>
    </w:p>
    <w:p w14:paraId="5D3F0C5D" w14:textId="77777777" w:rsidR="00B43822" w:rsidRDefault="00B43822" w:rsidP="00B43822">
      <w:pPr>
        <w:spacing w:after="0" w:line="240" w:lineRule="auto"/>
        <w:rPr>
          <w:rFonts w:ascii="Arial" w:hAnsi="Arial" w:cs="Arial"/>
        </w:rPr>
      </w:pPr>
    </w:p>
    <w:p w14:paraId="56CA440B" w14:textId="77777777" w:rsidR="00FF0B96" w:rsidRDefault="00FF0B96">
      <w:pPr>
        <w:rPr>
          <w:rFonts w:ascii="Arial" w:hAnsi="Arial" w:cs="Arial"/>
          <w:b/>
          <w:sz w:val="24"/>
          <w:szCs w:val="24"/>
        </w:rPr>
      </w:pPr>
      <w:r>
        <w:rPr>
          <w:rFonts w:ascii="Arial" w:hAnsi="Arial" w:cs="Arial"/>
          <w:b/>
          <w:sz w:val="24"/>
          <w:szCs w:val="24"/>
        </w:rPr>
        <w:br w:type="page"/>
      </w:r>
    </w:p>
    <w:p w14:paraId="28A1484B" w14:textId="77777777" w:rsidR="00FF0B96" w:rsidRDefault="00FF0B96" w:rsidP="00FF0B96">
      <w:pPr>
        <w:spacing w:after="0" w:line="240" w:lineRule="auto"/>
        <w:rPr>
          <w:rFonts w:ascii="Arial" w:hAnsi="Arial" w:cs="Arial"/>
          <w:b/>
          <w:sz w:val="24"/>
          <w:szCs w:val="24"/>
        </w:rPr>
      </w:pPr>
    </w:p>
    <w:p w14:paraId="4E5F271C" w14:textId="77777777" w:rsidR="00FF0B96" w:rsidRPr="00202467" w:rsidRDefault="00FF0B96" w:rsidP="00FF0B96">
      <w:pPr>
        <w:spacing w:after="0" w:line="240" w:lineRule="auto"/>
        <w:rPr>
          <w:rFonts w:ascii="Arial" w:hAnsi="Arial" w:cs="Arial"/>
        </w:rPr>
      </w:pPr>
    </w:p>
    <w:p w14:paraId="336C2A0D" w14:textId="77777777" w:rsidR="00FB01AF" w:rsidRDefault="00FB01AF" w:rsidP="00B16CEA">
      <w:pPr>
        <w:spacing w:after="0" w:line="240" w:lineRule="auto"/>
        <w:rPr>
          <w:rFonts w:ascii="Arial" w:hAnsi="Arial" w:cs="Arial"/>
          <w:b/>
          <w:sz w:val="24"/>
          <w:szCs w:val="24"/>
        </w:rPr>
      </w:pPr>
    </w:p>
    <w:p w14:paraId="5795F622" w14:textId="77777777" w:rsidR="00B16CEA" w:rsidRPr="00B16CEA" w:rsidRDefault="00B16CEA" w:rsidP="00FF0B96">
      <w:pPr>
        <w:rPr>
          <w:rFonts w:ascii="Arial" w:hAnsi="Arial" w:cs="Arial"/>
          <w:b/>
          <w:sz w:val="24"/>
          <w:szCs w:val="24"/>
        </w:rPr>
      </w:pPr>
      <w:r w:rsidRPr="00B16CEA">
        <w:rPr>
          <w:rFonts w:ascii="Arial" w:hAnsi="Arial" w:cs="Arial"/>
          <w:b/>
          <w:sz w:val="24"/>
          <w:szCs w:val="24"/>
        </w:rPr>
        <w:t>INTRODUCTION</w:t>
      </w:r>
    </w:p>
    <w:p w14:paraId="2F106625" w14:textId="77777777" w:rsidR="002A326F" w:rsidRPr="0002075E" w:rsidRDefault="002A326F" w:rsidP="0015240E">
      <w:pPr>
        <w:autoSpaceDE w:val="0"/>
        <w:autoSpaceDN w:val="0"/>
        <w:adjustRightInd w:val="0"/>
        <w:spacing w:after="0" w:line="240" w:lineRule="auto"/>
        <w:jc w:val="both"/>
        <w:rPr>
          <w:rFonts w:ascii="Arial" w:hAnsi="Arial" w:cs="Arial"/>
          <w:color w:val="000000"/>
          <w:sz w:val="24"/>
          <w:szCs w:val="24"/>
        </w:rPr>
      </w:pPr>
      <w:r w:rsidRPr="0002075E">
        <w:rPr>
          <w:rFonts w:ascii="Arial" w:hAnsi="Arial" w:cs="Arial"/>
          <w:color w:val="000000"/>
          <w:sz w:val="24"/>
          <w:szCs w:val="24"/>
        </w:rPr>
        <w:t xml:space="preserve">This document outlines North East Lincolnshire CCG’s clinical commissioning policy statements on interventions that are not routinely commissioned or are restricted. </w:t>
      </w:r>
    </w:p>
    <w:p w14:paraId="232B7395" w14:textId="77777777" w:rsidR="002A326F" w:rsidRPr="0002075E" w:rsidRDefault="002A326F" w:rsidP="0015240E">
      <w:pPr>
        <w:autoSpaceDE w:val="0"/>
        <w:autoSpaceDN w:val="0"/>
        <w:adjustRightInd w:val="0"/>
        <w:spacing w:after="0" w:line="240" w:lineRule="auto"/>
        <w:jc w:val="both"/>
        <w:rPr>
          <w:rFonts w:ascii="Arial" w:hAnsi="Arial" w:cs="Arial"/>
          <w:color w:val="000000"/>
          <w:sz w:val="24"/>
          <w:szCs w:val="24"/>
        </w:rPr>
      </w:pPr>
    </w:p>
    <w:p w14:paraId="54FDE24F" w14:textId="77777777" w:rsidR="002A326F" w:rsidRPr="0002075E" w:rsidRDefault="002A326F" w:rsidP="0015240E">
      <w:pPr>
        <w:autoSpaceDE w:val="0"/>
        <w:autoSpaceDN w:val="0"/>
        <w:adjustRightInd w:val="0"/>
        <w:spacing w:after="0" w:line="240" w:lineRule="auto"/>
        <w:jc w:val="both"/>
        <w:rPr>
          <w:rFonts w:ascii="Arial" w:hAnsi="Arial" w:cs="Arial"/>
          <w:color w:val="000000"/>
          <w:sz w:val="24"/>
          <w:szCs w:val="24"/>
        </w:rPr>
      </w:pPr>
      <w:r w:rsidRPr="0002075E">
        <w:rPr>
          <w:rFonts w:ascii="Arial" w:hAnsi="Arial" w:cs="Arial"/>
          <w:color w:val="000000"/>
          <w:sz w:val="24"/>
          <w:szCs w:val="24"/>
        </w:rPr>
        <w:t xml:space="preserve">The objective of this policy is to support CCG decision-making on these interventions and procedures, aiming to provide a statement on interventions based on the available evidence to enable a reasoned and structured process for individual cases to be considered for funding by the CCG. </w:t>
      </w:r>
    </w:p>
    <w:p w14:paraId="2ADFDFF8" w14:textId="77777777" w:rsidR="00B16CEA" w:rsidRPr="00B16CEA" w:rsidRDefault="00B16CEA" w:rsidP="0015240E">
      <w:pPr>
        <w:spacing w:after="0" w:line="240" w:lineRule="auto"/>
        <w:jc w:val="both"/>
        <w:rPr>
          <w:rFonts w:ascii="Arial" w:hAnsi="Arial" w:cs="Arial"/>
          <w:b/>
          <w:sz w:val="24"/>
          <w:szCs w:val="24"/>
        </w:rPr>
      </w:pPr>
    </w:p>
    <w:p w14:paraId="699FFCD1" w14:textId="77777777" w:rsidR="00B16CEA" w:rsidRPr="00B16CEA" w:rsidRDefault="00B16CEA" w:rsidP="0015240E">
      <w:pPr>
        <w:spacing w:after="0" w:line="240" w:lineRule="auto"/>
        <w:contextualSpacing/>
        <w:jc w:val="both"/>
        <w:rPr>
          <w:rFonts w:ascii="Arial" w:hAnsi="Arial" w:cs="Arial"/>
          <w:sz w:val="24"/>
          <w:szCs w:val="24"/>
        </w:rPr>
      </w:pPr>
      <w:r w:rsidRPr="00B16CEA">
        <w:rPr>
          <w:rFonts w:ascii="Arial" w:hAnsi="Arial" w:cs="Arial"/>
          <w:sz w:val="24"/>
          <w:szCs w:val="24"/>
        </w:rPr>
        <w:t xml:space="preserve">NHS </w:t>
      </w:r>
      <w:r w:rsidR="00A8357C">
        <w:rPr>
          <w:rFonts w:ascii="Arial" w:hAnsi="Arial" w:cs="Arial"/>
          <w:sz w:val="24"/>
          <w:szCs w:val="24"/>
        </w:rPr>
        <w:t>North East Lincolnshire</w:t>
      </w:r>
      <w:r w:rsidRPr="00B16CEA">
        <w:rPr>
          <w:rFonts w:ascii="Arial" w:hAnsi="Arial" w:cs="Arial"/>
          <w:sz w:val="24"/>
          <w:szCs w:val="24"/>
        </w:rPr>
        <w:t xml:space="preserve"> Clinical Commissioning Group (the CCG) has </w:t>
      </w:r>
    </w:p>
    <w:p w14:paraId="39B2C1F5" w14:textId="77777777" w:rsidR="00B16CEA" w:rsidRPr="00B16CEA" w:rsidRDefault="00B16CEA" w:rsidP="0015240E">
      <w:pPr>
        <w:spacing w:after="0" w:line="240" w:lineRule="auto"/>
        <w:contextualSpacing/>
        <w:jc w:val="both"/>
        <w:rPr>
          <w:rFonts w:ascii="Arial" w:hAnsi="Arial" w:cs="Arial"/>
          <w:sz w:val="24"/>
          <w:szCs w:val="24"/>
        </w:rPr>
      </w:pPr>
      <w:r w:rsidRPr="00B16CEA">
        <w:rPr>
          <w:rFonts w:ascii="Arial" w:hAnsi="Arial" w:cs="Arial"/>
          <w:sz w:val="24"/>
          <w:szCs w:val="24"/>
        </w:rPr>
        <w:t>a statutory responsibility to commission care, including medicines and other treatments for the population it serves within available resources by prioritising between competing demands.  The CCG will, theref</w:t>
      </w:r>
      <w:r w:rsidR="00A8357C">
        <w:rPr>
          <w:rFonts w:ascii="Arial" w:hAnsi="Arial" w:cs="Arial"/>
          <w:sz w:val="24"/>
          <w:szCs w:val="24"/>
        </w:rPr>
        <w:t>ore, ensure that it does not use</w:t>
      </w:r>
      <w:r w:rsidRPr="00B16CEA">
        <w:rPr>
          <w:rFonts w:ascii="Arial" w:hAnsi="Arial" w:cs="Arial"/>
          <w:sz w:val="24"/>
          <w:szCs w:val="24"/>
        </w:rPr>
        <w:t xml:space="preserve"> scarce resources on health care interventions that are not considered to be clinically effective or cost effective in meeting the health needs of patients.  (The term ‘health care intervention’ includes use of a medicine or medical device, diagnostic technique, surgical </w:t>
      </w:r>
      <w:proofErr w:type="gramStart"/>
      <w:r w:rsidRPr="00B16CEA">
        <w:rPr>
          <w:rFonts w:ascii="Arial" w:hAnsi="Arial" w:cs="Arial"/>
          <w:sz w:val="24"/>
          <w:szCs w:val="24"/>
        </w:rPr>
        <w:t>procedure</w:t>
      </w:r>
      <w:proofErr w:type="gramEnd"/>
      <w:r w:rsidRPr="00B16CEA">
        <w:rPr>
          <w:rFonts w:ascii="Arial" w:hAnsi="Arial" w:cs="Arial"/>
          <w:sz w:val="24"/>
          <w:szCs w:val="24"/>
        </w:rPr>
        <w:t xml:space="preserve"> and other therapeutic intervention).</w:t>
      </w:r>
    </w:p>
    <w:p w14:paraId="19C79A4A" w14:textId="77777777" w:rsidR="00B16CEA" w:rsidRPr="00B16CEA" w:rsidRDefault="00B16CEA" w:rsidP="0015240E">
      <w:pPr>
        <w:spacing w:after="0" w:line="240" w:lineRule="auto"/>
        <w:jc w:val="both"/>
        <w:rPr>
          <w:rFonts w:ascii="Arial" w:hAnsi="Arial" w:cs="Arial"/>
          <w:sz w:val="24"/>
          <w:szCs w:val="24"/>
        </w:rPr>
      </w:pPr>
    </w:p>
    <w:p w14:paraId="1976CAE6" w14:textId="77777777" w:rsidR="00B16CEA" w:rsidRPr="00B16CEA" w:rsidRDefault="00B16CEA" w:rsidP="0015240E">
      <w:pPr>
        <w:spacing w:after="0" w:line="240" w:lineRule="auto"/>
        <w:contextualSpacing/>
        <w:jc w:val="both"/>
        <w:rPr>
          <w:rFonts w:ascii="Arial" w:hAnsi="Arial" w:cs="Arial"/>
          <w:sz w:val="24"/>
          <w:szCs w:val="24"/>
        </w:rPr>
      </w:pPr>
      <w:r w:rsidRPr="00B16CEA">
        <w:rPr>
          <w:rFonts w:ascii="Arial" w:hAnsi="Arial" w:cs="Arial"/>
          <w:sz w:val="24"/>
          <w:szCs w:val="24"/>
        </w:rPr>
        <w:t>There is considerable variation in the evidence of clinical effectiv</w:t>
      </w:r>
      <w:r w:rsidR="00995AE9">
        <w:rPr>
          <w:rFonts w:ascii="Arial" w:hAnsi="Arial" w:cs="Arial"/>
          <w:sz w:val="24"/>
          <w:szCs w:val="24"/>
        </w:rPr>
        <w:t xml:space="preserve">eness </w:t>
      </w:r>
      <w:r w:rsidRPr="00B16CEA">
        <w:rPr>
          <w:rFonts w:ascii="Arial" w:hAnsi="Arial" w:cs="Arial"/>
          <w:sz w:val="24"/>
          <w:szCs w:val="24"/>
        </w:rPr>
        <w:t xml:space="preserve">of health care interventions, where costs may vary.  Individual requests for treatments, which are not covered by existing contracts are received by the CCG.  Some requests are for treatments for rare conditions where local services are not developed, while others are for health care interventions that the CCG will not commission as a matter of routine, but where the referring clinician believes there are exceptional circumstances that justify a request for referral.  The CCG will ensure fairness of access to treatments which may normally be restricted but which may offer specific benefits in an individual context.  </w:t>
      </w:r>
      <w:proofErr w:type="gramStart"/>
      <w:r w:rsidRPr="00B16CEA">
        <w:rPr>
          <w:rFonts w:ascii="Arial" w:hAnsi="Arial" w:cs="Arial"/>
          <w:sz w:val="24"/>
          <w:szCs w:val="24"/>
        </w:rPr>
        <w:t>By definition however</w:t>
      </w:r>
      <w:proofErr w:type="gramEnd"/>
      <w:r w:rsidRPr="00B16CEA">
        <w:rPr>
          <w:rFonts w:ascii="Arial" w:hAnsi="Arial" w:cs="Arial"/>
          <w:sz w:val="24"/>
          <w:szCs w:val="24"/>
        </w:rPr>
        <w:t>, consideration by exception is likely to occur infrequently.</w:t>
      </w:r>
    </w:p>
    <w:p w14:paraId="7D528E00" w14:textId="77777777" w:rsidR="00B16CEA" w:rsidRPr="00B16CEA" w:rsidRDefault="00B16CEA" w:rsidP="00B16CEA">
      <w:pPr>
        <w:spacing w:after="0" w:line="240" w:lineRule="auto"/>
        <w:rPr>
          <w:rFonts w:ascii="Arial" w:hAnsi="Arial" w:cs="Arial"/>
          <w:sz w:val="24"/>
          <w:szCs w:val="24"/>
        </w:rPr>
      </w:pPr>
    </w:p>
    <w:p w14:paraId="631E9BE5" w14:textId="77777777" w:rsidR="00B16CEA" w:rsidRPr="00B16CEA" w:rsidRDefault="00B16CEA" w:rsidP="00B16CEA">
      <w:pPr>
        <w:numPr>
          <w:ilvl w:val="0"/>
          <w:numId w:val="1"/>
        </w:numPr>
        <w:spacing w:after="0" w:line="240" w:lineRule="auto"/>
        <w:contextualSpacing/>
        <w:rPr>
          <w:rFonts w:ascii="Arial" w:hAnsi="Arial" w:cs="Arial"/>
          <w:b/>
          <w:sz w:val="24"/>
          <w:szCs w:val="24"/>
        </w:rPr>
      </w:pPr>
      <w:r w:rsidRPr="00B16CEA">
        <w:rPr>
          <w:rFonts w:ascii="Arial" w:hAnsi="Arial" w:cs="Arial"/>
          <w:b/>
          <w:sz w:val="24"/>
          <w:szCs w:val="24"/>
        </w:rPr>
        <w:t>ENGAGEMENT</w:t>
      </w:r>
    </w:p>
    <w:p w14:paraId="284F90CF" w14:textId="77777777" w:rsidR="00B16CEA" w:rsidRPr="00B16CEA" w:rsidRDefault="00B16CEA" w:rsidP="00B16CEA">
      <w:pPr>
        <w:spacing w:after="0" w:line="240" w:lineRule="auto"/>
        <w:rPr>
          <w:rFonts w:ascii="Arial" w:hAnsi="Arial" w:cs="Arial"/>
          <w:b/>
          <w:sz w:val="24"/>
          <w:szCs w:val="24"/>
        </w:rPr>
      </w:pPr>
    </w:p>
    <w:p w14:paraId="0F732F44" w14:textId="77777777" w:rsidR="00B16CEA" w:rsidRPr="00B16CEA" w:rsidRDefault="00B16CEA" w:rsidP="00B16CEA">
      <w:pPr>
        <w:spacing w:after="0" w:line="240" w:lineRule="auto"/>
        <w:rPr>
          <w:rFonts w:ascii="Arial" w:hAnsi="Arial" w:cs="Arial"/>
          <w:sz w:val="24"/>
          <w:szCs w:val="24"/>
        </w:rPr>
      </w:pPr>
      <w:r w:rsidRPr="00B16CEA">
        <w:rPr>
          <w:rFonts w:ascii="Arial" w:hAnsi="Arial" w:cs="Arial"/>
          <w:sz w:val="24"/>
          <w:szCs w:val="24"/>
        </w:rPr>
        <w:t xml:space="preserve">This policy has been </w:t>
      </w:r>
      <w:r w:rsidR="00355D19">
        <w:rPr>
          <w:rFonts w:ascii="Arial" w:hAnsi="Arial" w:cs="Arial"/>
          <w:sz w:val="24"/>
          <w:szCs w:val="24"/>
        </w:rPr>
        <w:t>updated as part of work within the Humber Coast and Vale STP</w:t>
      </w:r>
      <w:r w:rsidRPr="00B16CEA">
        <w:rPr>
          <w:rFonts w:ascii="Arial" w:hAnsi="Arial" w:cs="Arial"/>
          <w:sz w:val="24"/>
          <w:szCs w:val="24"/>
        </w:rPr>
        <w:t xml:space="preserve">.  </w:t>
      </w:r>
    </w:p>
    <w:p w14:paraId="50E903EA" w14:textId="77777777" w:rsidR="00B16CEA" w:rsidRPr="00B16CEA" w:rsidRDefault="00B16CEA" w:rsidP="00B16CEA">
      <w:pPr>
        <w:spacing w:after="0" w:line="240" w:lineRule="auto"/>
        <w:rPr>
          <w:rFonts w:ascii="Arial" w:hAnsi="Arial" w:cs="Arial"/>
          <w:sz w:val="24"/>
          <w:szCs w:val="24"/>
        </w:rPr>
      </w:pPr>
    </w:p>
    <w:p w14:paraId="16481B66" w14:textId="77777777" w:rsidR="00B16CEA" w:rsidRPr="00B16CEA" w:rsidRDefault="00B16CEA" w:rsidP="00B16CEA">
      <w:pPr>
        <w:numPr>
          <w:ilvl w:val="0"/>
          <w:numId w:val="1"/>
        </w:numPr>
        <w:spacing w:after="0" w:line="240" w:lineRule="auto"/>
        <w:contextualSpacing/>
        <w:rPr>
          <w:rFonts w:ascii="Arial" w:hAnsi="Arial" w:cs="Arial"/>
          <w:b/>
          <w:sz w:val="24"/>
          <w:szCs w:val="24"/>
        </w:rPr>
      </w:pPr>
      <w:r w:rsidRPr="00B16CEA">
        <w:rPr>
          <w:rFonts w:ascii="Arial" w:hAnsi="Arial" w:cs="Arial"/>
          <w:b/>
          <w:sz w:val="24"/>
          <w:szCs w:val="24"/>
        </w:rPr>
        <w:t>IMPACT ANALYSES</w:t>
      </w:r>
    </w:p>
    <w:p w14:paraId="674FE767" w14:textId="77777777" w:rsidR="00B16CEA" w:rsidRPr="00B16CEA" w:rsidRDefault="00B16CEA" w:rsidP="00B16CEA">
      <w:pPr>
        <w:spacing w:after="0" w:line="240" w:lineRule="auto"/>
        <w:contextualSpacing/>
        <w:rPr>
          <w:rFonts w:ascii="Arial" w:hAnsi="Arial" w:cs="Arial"/>
          <w:b/>
          <w:sz w:val="24"/>
          <w:szCs w:val="24"/>
        </w:rPr>
      </w:pPr>
    </w:p>
    <w:p w14:paraId="7F6D41F7" w14:textId="77777777" w:rsidR="00B16CEA" w:rsidRPr="00B16CEA" w:rsidRDefault="00B16CEA" w:rsidP="00A8357C">
      <w:pPr>
        <w:spacing w:after="0" w:line="240" w:lineRule="auto"/>
        <w:contextualSpacing/>
        <w:rPr>
          <w:rFonts w:ascii="Arial" w:hAnsi="Arial" w:cs="Arial"/>
          <w:b/>
          <w:sz w:val="24"/>
          <w:szCs w:val="24"/>
        </w:rPr>
      </w:pPr>
      <w:r w:rsidRPr="00B16CEA">
        <w:rPr>
          <w:rFonts w:ascii="Arial" w:hAnsi="Arial" w:cs="Arial"/>
          <w:b/>
          <w:sz w:val="24"/>
          <w:szCs w:val="24"/>
        </w:rPr>
        <w:t>Equality</w:t>
      </w:r>
    </w:p>
    <w:p w14:paraId="1D88A1FC" w14:textId="77777777" w:rsidR="00B16CEA" w:rsidRPr="00B16CEA" w:rsidRDefault="00B16CEA" w:rsidP="00B16CEA">
      <w:pPr>
        <w:spacing w:after="0" w:line="240" w:lineRule="auto"/>
        <w:rPr>
          <w:rFonts w:ascii="Arial" w:hAnsi="Arial" w:cs="Arial"/>
          <w:b/>
          <w:sz w:val="24"/>
          <w:szCs w:val="24"/>
        </w:rPr>
      </w:pPr>
    </w:p>
    <w:p w14:paraId="1DBB00C3" w14:textId="77777777" w:rsidR="00FA50CB" w:rsidRPr="00FA50CB" w:rsidRDefault="00FA50CB" w:rsidP="0015240E">
      <w:pPr>
        <w:spacing w:after="0" w:line="240" w:lineRule="auto"/>
        <w:contextualSpacing/>
        <w:jc w:val="both"/>
        <w:rPr>
          <w:rFonts w:ascii="Arial" w:hAnsi="Arial" w:cs="Arial"/>
          <w:sz w:val="24"/>
          <w:szCs w:val="24"/>
        </w:rPr>
      </w:pPr>
      <w:r w:rsidRPr="00FA50CB">
        <w:rPr>
          <w:rFonts w:ascii="Arial" w:hAnsi="Arial" w:cs="Arial"/>
          <w:sz w:val="24"/>
          <w:szCs w:val="24"/>
        </w:rPr>
        <w:t>The CCG is committed to creating an environment where everyone is treated equitably and the potential for discrimination is identified and mitigated.</w:t>
      </w:r>
    </w:p>
    <w:p w14:paraId="2A1905DE" w14:textId="77777777" w:rsidR="00FA50CB" w:rsidRPr="00FA50CB" w:rsidRDefault="00FA50CB" w:rsidP="0015240E">
      <w:pPr>
        <w:spacing w:after="0" w:line="240" w:lineRule="auto"/>
        <w:contextualSpacing/>
        <w:jc w:val="both"/>
        <w:rPr>
          <w:rFonts w:ascii="Arial" w:hAnsi="Arial" w:cs="Arial"/>
          <w:sz w:val="24"/>
          <w:szCs w:val="24"/>
        </w:rPr>
      </w:pPr>
    </w:p>
    <w:p w14:paraId="1D02E500" w14:textId="77777777" w:rsidR="00FA50CB" w:rsidRPr="00FA50CB" w:rsidRDefault="00FA50CB" w:rsidP="0015240E">
      <w:pPr>
        <w:spacing w:after="0" w:line="240" w:lineRule="auto"/>
        <w:contextualSpacing/>
        <w:jc w:val="both"/>
        <w:rPr>
          <w:rFonts w:ascii="Arial" w:hAnsi="Arial" w:cs="Arial"/>
          <w:sz w:val="24"/>
          <w:szCs w:val="24"/>
        </w:rPr>
      </w:pPr>
      <w:r w:rsidRPr="00FA50CB">
        <w:rPr>
          <w:rFonts w:ascii="Arial" w:hAnsi="Arial" w:cs="Arial"/>
          <w:sz w:val="24"/>
          <w:szCs w:val="24"/>
        </w:rPr>
        <w:t xml:space="preserve">All policies require an Equality Impact Assessment, document authors, are required to complete an Equality Impact Assessment as part of the consultation process. The Equality Impact Assessment Template which is designed to help document authors systematically analyse the needs and impact of the policy on each equality group or protected characteristic can be found at Appendix D. (of the document control policy).  </w:t>
      </w:r>
    </w:p>
    <w:p w14:paraId="1317F231" w14:textId="77777777" w:rsidR="00FA50CB" w:rsidRPr="00FA50CB" w:rsidRDefault="00FA50CB" w:rsidP="0015240E">
      <w:pPr>
        <w:spacing w:after="0" w:line="240" w:lineRule="auto"/>
        <w:contextualSpacing/>
        <w:jc w:val="both"/>
        <w:rPr>
          <w:rFonts w:ascii="Arial" w:hAnsi="Arial" w:cs="Arial"/>
          <w:sz w:val="24"/>
          <w:szCs w:val="24"/>
        </w:rPr>
      </w:pPr>
    </w:p>
    <w:p w14:paraId="18B2F654" w14:textId="77777777" w:rsidR="00FA50CB" w:rsidRDefault="00FA50CB" w:rsidP="0015240E">
      <w:pPr>
        <w:spacing w:after="0" w:line="240" w:lineRule="auto"/>
        <w:contextualSpacing/>
        <w:jc w:val="both"/>
        <w:rPr>
          <w:rFonts w:ascii="Arial" w:hAnsi="Arial" w:cs="Arial"/>
          <w:sz w:val="24"/>
          <w:szCs w:val="24"/>
        </w:rPr>
      </w:pPr>
      <w:r w:rsidRPr="00FA50CB">
        <w:rPr>
          <w:rFonts w:ascii="Arial" w:hAnsi="Arial" w:cs="Arial"/>
          <w:sz w:val="24"/>
          <w:szCs w:val="24"/>
        </w:rPr>
        <w:t>The completed Equality Impact Assessment will need to support the policy and form part of the consultation &amp; approval process. Existing policies should already have been Equality Impact Assessed, so only a review will be necessary where this is the case.</w:t>
      </w:r>
    </w:p>
    <w:p w14:paraId="24A0B4A8" w14:textId="77777777" w:rsidR="00FA50CB" w:rsidRPr="00FA50CB" w:rsidRDefault="00FA50CB" w:rsidP="0015240E">
      <w:pPr>
        <w:spacing w:after="0" w:line="240" w:lineRule="auto"/>
        <w:contextualSpacing/>
        <w:jc w:val="both"/>
        <w:rPr>
          <w:rFonts w:ascii="Arial" w:hAnsi="Arial" w:cs="Arial"/>
          <w:sz w:val="24"/>
          <w:szCs w:val="24"/>
        </w:rPr>
      </w:pPr>
    </w:p>
    <w:p w14:paraId="443F5717" w14:textId="77777777" w:rsidR="000C42CB" w:rsidRDefault="00FA50CB" w:rsidP="0015240E">
      <w:pPr>
        <w:spacing w:after="0" w:line="240" w:lineRule="auto"/>
        <w:contextualSpacing/>
        <w:jc w:val="both"/>
        <w:rPr>
          <w:rFonts w:ascii="Arial" w:hAnsi="Arial" w:cs="Arial"/>
          <w:sz w:val="24"/>
          <w:szCs w:val="24"/>
        </w:rPr>
      </w:pPr>
      <w:r w:rsidRPr="00FA50CB">
        <w:rPr>
          <w:rFonts w:ascii="Arial" w:hAnsi="Arial" w:cs="Arial"/>
          <w:sz w:val="24"/>
          <w:szCs w:val="24"/>
        </w:rPr>
        <w:lastRenderedPageBreak/>
        <w:t xml:space="preserve">As a result of preforming the screening analysis, the policy </w:t>
      </w:r>
      <w:r w:rsidR="00DB7751">
        <w:rPr>
          <w:rFonts w:ascii="Arial" w:hAnsi="Arial" w:cs="Arial"/>
          <w:sz w:val="24"/>
          <w:szCs w:val="24"/>
        </w:rPr>
        <w:t>may possibly have any adverse effect</w:t>
      </w:r>
      <w:r w:rsidRPr="00FA50CB">
        <w:rPr>
          <w:rFonts w:ascii="Arial" w:hAnsi="Arial" w:cs="Arial"/>
          <w:sz w:val="24"/>
          <w:szCs w:val="24"/>
        </w:rPr>
        <w:t xml:space="preserve"> on people who share P</w:t>
      </w:r>
      <w:r w:rsidR="00DB7751">
        <w:rPr>
          <w:rFonts w:ascii="Arial" w:hAnsi="Arial" w:cs="Arial"/>
          <w:sz w:val="24"/>
          <w:szCs w:val="24"/>
        </w:rPr>
        <w:t xml:space="preserve">rotected Characteristics and </w:t>
      </w:r>
      <w:r w:rsidRPr="00FA50CB">
        <w:rPr>
          <w:rFonts w:ascii="Arial" w:hAnsi="Arial" w:cs="Arial"/>
          <w:sz w:val="24"/>
          <w:szCs w:val="24"/>
        </w:rPr>
        <w:t xml:space="preserve">further actions are recommended </w:t>
      </w:r>
      <w:r w:rsidR="00DB7751">
        <w:rPr>
          <w:rFonts w:ascii="Arial" w:hAnsi="Arial" w:cs="Arial"/>
          <w:sz w:val="24"/>
          <w:szCs w:val="24"/>
        </w:rPr>
        <w:t>in the equality impact assessment which can be accessed</w:t>
      </w:r>
      <w:r w:rsidR="000C42CB">
        <w:rPr>
          <w:rFonts w:ascii="Arial" w:hAnsi="Arial" w:cs="Arial"/>
          <w:sz w:val="24"/>
          <w:szCs w:val="24"/>
        </w:rPr>
        <w:t xml:space="preserve"> </w:t>
      </w:r>
      <w:hyperlink r:id="rId9" w:history="1">
        <w:r w:rsidR="000C42CB">
          <w:rPr>
            <w:rStyle w:val="Hyperlink"/>
            <w:rFonts w:ascii="Arial" w:hAnsi="Arial" w:cs="Arial"/>
            <w:sz w:val="24"/>
            <w:szCs w:val="24"/>
          </w:rPr>
          <w:t>here</w:t>
        </w:r>
      </w:hyperlink>
    </w:p>
    <w:p w14:paraId="4CFCE0D3" w14:textId="77777777" w:rsidR="000C42CB" w:rsidRDefault="000C42CB" w:rsidP="0015240E">
      <w:pPr>
        <w:spacing w:after="0" w:line="240" w:lineRule="auto"/>
        <w:contextualSpacing/>
        <w:jc w:val="both"/>
        <w:rPr>
          <w:rFonts w:ascii="Arial" w:hAnsi="Arial" w:cs="Arial"/>
          <w:sz w:val="24"/>
          <w:szCs w:val="24"/>
        </w:rPr>
      </w:pPr>
    </w:p>
    <w:p w14:paraId="399C2E58" w14:textId="3B464F27" w:rsidR="00B16CEA" w:rsidRPr="00B16CEA" w:rsidRDefault="000C42CB" w:rsidP="0015240E">
      <w:pPr>
        <w:spacing w:after="0" w:line="240" w:lineRule="auto"/>
        <w:contextualSpacing/>
        <w:jc w:val="both"/>
        <w:rPr>
          <w:rFonts w:ascii="Arial" w:hAnsi="Arial" w:cs="Arial"/>
          <w:sz w:val="24"/>
          <w:szCs w:val="24"/>
        </w:rPr>
      </w:pPr>
      <w:r>
        <w:rPr>
          <w:rFonts w:ascii="Arial" w:hAnsi="Arial" w:cs="Arial"/>
          <w:sz w:val="24"/>
          <w:szCs w:val="24"/>
        </w:rPr>
        <w:t xml:space="preserve"> </w:t>
      </w:r>
      <w:r w:rsidR="00B16CEA" w:rsidRPr="00B16CEA">
        <w:rPr>
          <w:rFonts w:ascii="Arial" w:hAnsi="Arial" w:cs="Arial"/>
          <w:sz w:val="24"/>
          <w:szCs w:val="24"/>
        </w:rPr>
        <w:t>Each member of the Panel should undertake an Equality and Diversity e-learning package (or the equivalent) and should be able to demonstrate an understanding of the CCG Equality strategy/objectives and the issues that may be relevant to each Individual Funding Request.</w:t>
      </w:r>
    </w:p>
    <w:p w14:paraId="37AAAA28" w14:textId="77777777" w:rsidR="00FF0B96" w:rsidRDefault="00FF0B96" w:rsidP="00A8357C">
      <w:pPr>
        <w:spacing w:after="0" w:line="240" w:lineRule="auto"/>
        <w:contextualSpacing/>
        <w:rPr>
          <w:rFonts w:ascii="Arial" w:hAnsi="Arial" w:cs="Arial"/>
          <w:b/>
          <w:sz w:val="24"/>
          <w:szCs w:val="24"/>
        </w:rPr>
      </w:pPr>
    </w:p>
    <w:p w14:paraId="294E7F3F" w14:textId="77777777" w:rsidR="00B16CEA" w:rsidRPr="00B16CEA" w:rsidRDefault="00DE4310" w:rsidP="00DE4310">
      <w:pPr>
        <w:spacing w:after="0" w:line="240" w:lineRule="auto"/>
        <w:contextualSpacing/>
        <w:rPr>
          <w:rFonts w:ascii="Arial" w:hAnsi="Arial" w:cs="Arial"/>
          <w:b/>
          <w:sz w:val="24"/>
          <w:szCs w:val="24"/>
        </w:rPr>
      </w:pPr>
      <w:r>
        <w:rPr>
          <w:rFonts w:ascii="Arial" w:hAnsi="Arial" w:cs="Arial"/>
          <w:b/>
          <w:sz w:val="24"/>
          <w:szCs w:val="24"/>
        </w:rPr>
        <w:t xml:space="preserve">2.1 </w:t>
      </w:r>
      <w:r w:rsidR="00B16CEA" w:rsidRPr="00B16CEA">
        <w:rPr>
          <w:rFonts w:ascii="Arial" w:hAnsi="Arial" w:cs="Arial"/>
          <w:b/>
          <w:sz w:val="24"/>
          <w:szCs w:val="24"/>
        </w:rPr>
        <w:t>Sustainability</w:t>
      </w:r>
    </w:p>
    <w:p w14:paraId="43746F00" w14:textId="77777777" w:rsidR="00B16CEA" w:rsidRPr="00B16CEA" w:rsidRDefault="00B16CEA" w:rsidP="00B16CEA">
      <w:pPr>
        <w:spacing w:after="0" w:line="240" w:lineRule="auto"/>
        <w:contextualSpacing/>
        <w:rPr>
          <w:rFonts w:ascii="Arial" w:hAnsi="Arial" w:cs="Arial"/>
          <w:b/>
          <w:sz w:val="24"/>
          <w:szCs w:val="24"/>
        </w:rPr>
      </w:pPr>
    </w:p>
    <w:p w14:paraId="64D3280B" w14:textId="77777777" w:rsidR="00B16CEA" w:rsidRDefault="00B16CEA" w:rsidP="0015240E">
      <w:pPr>
        <w:spacing w:after="0" w:line="240" w:lineRule="auto"/>
        <w:contextualSpacing/>
        <w:jc w:val="both"/>
        <w:rPr>
          <w:rFonts w:ascii="Arial" w:hAnsi="Arial" w:cs="Arial"/>
          <w:sz w:val="24"/>
          <w:szCs w:val="24"/>
        </w:rPr>
      </w:pPr>
      <w:r w:rsidRPr="00B16CEA">
        <w:rPr>
          <w:rFonts w:ascii="Arial" w:hAnsi="Arial" w:cs="Arial"/>
          <w:sz w:val="24"/>
          <w:szCs w:val="24"/>
        </w:rPr>
        <w:t>There are no sustainabilit</w:t>
      </w:r>
      <w:r w:rsidR="00A8357C">
        <w:rPr>
          <w:rFonts w:ascii="Arial" w:hAnsi="Arial" w:cs="Arial"/>
          <w:sz w:val="24"/>
          <w:szCs w:val="24"/>
        </w:rPr>
        <w:t xml:space="preserve">y impacts through this policy. </w:t>
      </w:r>
      <w:r w:rsidRPr="00B16CEA">
        <w:rPr>
          <w:rFonts w:ascii="Arial" w:hAnsi="Arial" w:cs="Arial"/>
          <w:sz w:val="24"/>
          <w:szCs w:val="24"/>
        </w:rPr>
        <w:t xml:space="preserve">Commissioning policies are agreed against clinical and </w:t>
      </w:r>
      <w:proofErr w:type="gramStart"/>
      <w:r w:rsidRPr="00B16CEA">
        <w:rPr>
          <w:rFonts w:ascii="Arial" w:hAnsi="Arial" w:cs="Arial"/>
          <w:sz w:val="24"/>
          <w:szCs w:val="24"/>
        </w:rPr>
        <w:t>cost effective</w:t>
      </w:r>
      <w:proofErr w:type="gramEnd"/>
      <w:r w:rsidRPr="00B16CEA">
        <w:rPr>
          <w:rFonts w:ascii="Arial" w:hAnsi="Arial" w:cs="Arial"/>
          <w:sz w:val="24"/>
          <w:szCs w:val="24"/>
        </w:rPr>
        <w:t xml:space="preserve"> considerations.</w:t>
      </w:r>
    </w:p>
    <w:p w14:paraId="13B40E0F" w14:textId="77777777" w:rsidR="00B16CEA" w:rsidRPr="00B16CEA" w:rsidRDefault="00B16CEA" w:rsidP="00B16CEA">
      <w:pPr>
        <w:spacing w:after="0" w:line="240" w:lineRule="auto"/>
        <w:rPr>
          <w:rFonts w:ascii="Arial" w:hAnsi="Arial" w:cs="Arial"/>
          <w:sz w:val="24"/>
          <w:szCs w:val="24"/>
        </w:rPr>
      </w:pPr>
    </w:p>
    <w:p w14:paraId="7D8C03AD" w14:textId="77777777" w:rsidR="00B16CEA" w:rsidRPr="00B16CEA" w:rsidRDefault="00DE4310" w:rsidP="00A8357C">
      <w:pPr>
        <w:spacing w:after="0" w:line="240" w:lineRule="auto"/>
        <w:contextualSpacing/>
        <w:rPr>
          <w:rFonts w:ascii="Arial" w:hAnsi="Arial" w:cs="Arial"/>
          <w:b/>
          <w:sz w:val="24"/>
          <w:szCs w:val="24"/>
        </w:rPr>
      </w:pPr>
      <w:r>
        <w:rPr>
          <w:rFonts w:ascii="Arial" w:hAnsi="Arial" w:cs="Arial"/>
          <w:b/>
          <w:sz w:val="24"/>
          <w:szCs w:val="24"/>
        </w:rPr>
        <w:t xml:space="preserve">2.2 </w:t>
      </w:r>
      <w:r w:rsidR="00B16CEA" w:rsidRPr="00B16CEA">
        <w:rPr>
          <w:rFonts w:ascii="Arial" w:hAnsi="Arial" w:cs="Arial"/>
          <w:b/>
          <w:sz w:val="24"/>
          <w:szCs w:val="24"/>
        </w:rPr>
        <w:t>Bribery Act 2010</w:t>
      </w:r>
    </w:p>
    <w:p w14:paraId="7F7606D2" w14:textId="77777777" w:rsidR="00B16CEA" w:rsidRPr="00B16CEA" w:rsidRDefault="00B16CEA" w:rsidP="00B16CEA">
      <w:pPr>
        <w:spacing w:after="0" w:line="240" w:lineRule="auto"/>
        <w:contextualSpacing/>
        <w:rPr>
          <w:rFonts w:ascii="Arial" w:hAnsi="Arial" w:cs="Arial"/>
          <w:b/>
          <w:sz w:val="24"/>
          <w:szCs w:val="24"/>
        </w:rPr>
      </w:pPr>
    </w:p>
    <w:p w14:paraId="6DF0939B" w14:textId="77777777" w:rsidR="00A1241C" w:rsidRPr="00A1241C" w:rsidRDefault="00A1241C" w:rsidP="00A1241C">
      <w:pPr>
        <w:spacing w:after="0" w:line="240" w:lineRule="auto"/>
        <w:contextualSpacing/>
        <w:rPr>
          <w:rFonts w:ascii="Arial" w:hAnsi="Arial" w:cs="Arial"/>
          <w:color w:val="000000"/>
        </w:rPr>
      </w:pPr>
      <w:r w:rsidRPr="00A1241C">
        <w:rPr>
          <w:rFonts w:ascii="Arial" w:hAnsi="Arial" w:cs="Arial"/>
          <w:color w:val="000000"/>
        </w:rPr>
        <w:t xml:space="preserve">The </w:t>
      </w:r>
      <w:r w:rsidRPr="00A1241C">
        <w:rPr>
          <w:rFonts w:ascii="Arial" w:hAnsi="Arial" w:cs="Arial"/>
          <w:sz w:val="24"/>
          <w:szCs w:val="24"/>
        </w:rPr>
        <w:t>relevance</w:t>
      </w:r>
      <w:r w:rsidRPr="00A1241C">
        <w:rPr>
          <w:rFonts w:ascii="Arial" w:hAnsi="Arial" w:cs="Arial"/>
          <w:color w:val="000000"/>
        </w:rPr>
        <w:t xml:space="preserve"> of the Bribery Act 2010 must be considered in respect of every policy.  </w:t>
      </w:r>
    </w:p>
    <w:p w14:paraId="415BA21C" w14:textId="77777777" w:rsidR="00A1241C" w:rsidRPr="00A1241C" w:rsidRDefault="00A1241C" w:rsidP="00A1241C">
      <w:pPr>
        <w:autoSpaceDE w:val="0"/>
        <w:autoSpaceDN w:val="0"/>
        <w:adjustRightInd w:val="0"/>
        <w:spacing w:after="0" w:line="240" w:lineRule="auto"/>
        <w:ind w:left="720"/>
        <w:rPr>
          <w:rFonts w:ascii="Arial" w:hAnsi="Arial" w:cs="Arial"/>
          <w:color w:val="000000"/>
        </w:rPr>
      </w:pPr>
    </w:p>
    <w:p w14:paraId="7366EF4D" w14:textId="77777777" w:rsidR="00A1241C" w:rsidRPr="00A1241C" w:rsidRDefault="00A1241C" w:rsidP="00A1241C">
      <w:pPr>
        <w:spacing w:after="0" w:line="240" w:lineRule="auto"/>
        <w:contextualSpacing/>
        <w:rPr>
          <w:rFonts w:ascii="Arial" w:hAnsi="Arial" w:cs="Arial"/>
          <w:color w:val="000000"/>
        </w:rPr>
      </w:pPr>
      <w:r w:rsidRPr="00A1241C">
        <w:rPr>
          <w:rFonts w:ascii="Arial" w:hAnsi="Arial" w:cs="Arial"/>
          <w:color w:val="000000"/>
        </w:rPr>
        <w:t xml:space="preserve">It is </w:t>
      </w:r>
      <w:r w:rsidRPr="00A1241C">
        <w:rPr>
          <w:rFonts w:ascii="Arial" w:hAnsi="Arial" w:cs="Arial"/>
          <w:sz w:val="24"/>
          <w:szCs w:val="24"/>
        </w:rPr>
        <w:t>considered</w:t>
      </w:r>
      <w:r w:rsidRPr="00A1241C">
        <w:rPr>
          <w:rFonts w:ascii="Arial" w:hAnsi="Arial" w:cs="Arial"/>
          <w:color w:val="000000"/>
        </w:rPr>
        <w:t xml:space="preserve"> the Bribery Act 2010 to be relevant to this policy.   Under the Bribery Act it is a criminal offence to:</w:t>
      </w:r>
    </w:p>
    <w:p w14:paraId="4EF742BA" w14:textId="77777777" w:rsidR="00A1241C" w:rsidRPr="00A1241C" w:rsidRDefault="00A1241C" w:rsidP="00A1241C">
      <w:pPr>
        <w:autoSpaceDE w:val="0"/>
        <w:autoSpaceDN w:val="0"/>
        <w:adjustRightInd w:val="0"/>
        <w:spacing w:after="0" w:line="240" w:lineRule="auto"/>
        <w:ind w:left="720"/>
        <w:rPr>
          <w:rFonts w:ascii="Arial" w:hAnsi="Arial" w:cs="Arial"/>
          <w:color w:val="000000"/>
        </w:rPr>
      </w:pPr>
    </w:p>
    <w:p w14:paraId="7EC7A6D1" w14:textId="77777777" w:rsidR="00A1241C" w:rsidRPr="0015240E" w:rsidRDefault="00A1241C" w:rsidP="0015240E">
      <w:pPr>
        <w:pStyle w:val="ListParagraph"/>
        <w:numPr>
          <w:ilvl w:val="0"/>
          <w:numId w:val="6"/>
        </w:numPr>
        <w:jc w:val="both"/>
        <w:rPr>
          <w:rFonts w:ascii="Arial" w:hAnsi="Arial" w:cs="Arial"/>
          <w:sz w:val="24"/>
          <w:szCs w:val="24"/>
        </w:rPr>
      </w:pPr>
      <w:r w:rsidRPr="0015240E">
        <w:rPr>
          <w:rFonts w:ascii="Arial" w:hAnsi="Arial" w:cs="Arial"/>
          <w:sz w:val="24"/>
          <w:szCs w:val="24"/>
        </w:rPr>
        <w:t xml:space="preserve">Bribe another person by offering, </w:t>
      </w:r>
      <w:proofErr w:type="gramStart"/>
      <w:r w:rsidRPr="0015240E">
        <w:rPr>
          <w:rFonts w:ascii="Arial" w:hAnsi="Arial" w:cs="Arial"/>
          <w:sz w:val="24"/>
          <w:szCs w:val="24"/>
        </w:rPr>
        <w:t>promising</w:t>
      </w:r>
      <w:proofErr w:type="gramEnd"/>
      <w:r w:rsidRPr="0015240E">
        <w:rPr>
          <w:rFonts w:ascii="Arial" w:hAnsi="Arial" w:cs="Arial"/>
          <w:sz w:val="24"/>
          <w:szCs w:val="24"/>
        </w:rPr>
        <w:t xml:space="preserve"> </w:t>
      </w:r>
      <w:r w:rsidR="0015240E" w:rsidRPr="0015240E">
        <w:rPr>
          <w:rFonts w:ascii="Arial" w:hAnsi="Arial" w:cs="Arial"/>
          <w:sz w:val="24"/>
          <w:szCs w:val="24"/>
        </w:rPr>
        <w:t xml:space="preserve">or giving a financial or other </w:t>
      </w:r>
      <w:r w:rsidRPr="0015240E">
        <w:rPr>
          <w:rFonts w:ascii="Arial" w:hAnsi="Arial" w:cs="Arial"/>
          <w:sz w:val="24"/>
          <w:szCs w:val="24"/>
        </w:rPr>
        <w:t>advantage to induce them to perform imp</w:t>
      </w:r>
      <w:r w:rsidR="0015240E" w:rsidRPr="0015240E">
        <w:rPr>
          <w:rFonts w:ascii="Arial" w:hAnsi="Arial" w:cs="Arial"/>
          <w:sz w:val="24"/>
          <w:szCs w:val="24"/>
        </w:rPr>
        <w:t xml:space="preserve">roperly a relevant function or </w:t>
      </w:r>
      <w:r w:rsidRPr="0015240E">
        <w:rPr>
          <w:rFonts w:ascii="Arial" w:hAnsi="Arial" w:cs="Arial"/>
          <w:sz w:val="24"/>
          <w:szCs w:val="24"/>
        </w:rPr>
        <w:t>activity, or as a reward for already having done so;  and</w:t>
      </w:r>
    </w:p>
    <w:p w14:paraId="4C57AA8B" w14:textId="77777777" w:rsidR="00A1241C" w:rsidRPr="0015240E" w:rsidRDefault="00A1241C" w:rsidP="0015240E">
      <w:pPr>
        <w:pStyle w:val="ListParagraph"/>
        <w:numPr>
          <w:ilvl w:val="0"/>
          <w:numId w:val="6"/>
        </w:numPr>
        <w:jc w:val="both"/>
        <w:rPr>
          <w:rFonts w:ascii="Arial" w:hAnsi="Arial" w:cs="Arial"/>
          <w:sz w:val="24"/>
          <w:szCs w:val="24"/>
        </w:rPr>
      </w:pPr>
      <w:r w:rsidRPr="0015240E">
        <w:rPr>
          <w:rFonts w:ascii="Arial" w:hAnsi="Arial" w:cs="Arial"/>
          <w:sz w:val="24"/>
          <w:szCs w:val="24"/>
        </w:rPr>
        <w:t>Be bribed by another person by requesting, ag</w:t>
      </w:r>
      <w:r w:rsidR="0015240E" w:rsidRPr="0015240E">
        <w:rPr>
          <w:rFonts w:ascii="Arial" w:hAnsi="Arial" w:cs="Arial"/>
          <w:sz w:val="24"/>
          <w:szCs w:val="24"/>
        </w:rPr>
        <w:t xml:space="preserve">reeing to </w:t>
      </w:r>
      <w:proofErr w:type="gramStart"/>
      <w:r w:rsidR="0015240E" w:rsidRPr="0015240E">
        <w:rPr>
          <w:rFonts w:ascii="Arial" w:hAnsi="Arial" w:cs="Arial"/>
          <w:sz w:val="24"/>
          <w:szCs w:val="24"/>
        </w:rPr>
        <w:t>receive</w:t>
      </w:r>
      <w:proofErr w:type="gramEnd"/>
      <w:r w:rsidR="0015240E" w:rsidRPr="0015240E">
        <w:rPr>
          <w:rFonts w:ascii="Arial" w:hAnsi="Arial" w:cs="Arial"/>
          <w:sz w:val="24"/>
          <w:szCs w:val="24"/>
        </w:rPr>
        <w:t xml:space="preserve"> or accepting </w:t>
      </w:r>
      <w:r w:rsidRPr="0015240E">
        <w:rPr>
          <w:rFonts w:ascii="Arial" w:hAnsi="Arial" w:cs="Arial"/>
          <w:sz w:val="24"/>
          <w:szCs w:val="24"/>
        </w:rPr>
        <w:t>a financial or other advantage with the intenti</w:t>
      </w:r>
      <w:r w:rsidR="0015240E" w:rsidRPr="0015240E">
        <w:rPr>
          <w:rFonts w:ascii="Arial" w:hAnsi="Arial" w:cs="Arial"/>
          <w:sz w:val="24"/>
          <w:szCs w:val="24"/>
        </w:rPr>
        <w:t xml:space="preserve">on that a relevant function or </w:t>
      </w:r>
      <w:r w:rsidRPr="0015240E">
        <w:rPr>
          <w:rFonts w:ascii="Arial" w:hAnsi="Arial" w:cs="Arial"/>
          <w:sz w:val="24"/>
          <w:szCs w:val="24"/>
        </w:rPr>
        <w:t>activity would then be performed imprope</w:t>
      </w:r>
      <w:r w:rsidR="0015240E" w:rsidRPr="0015240E">
        <w:rPr>
          <w:rFonts w:ascii="Arial" w:hAnsi="Arial" w:cs="Arial"/>
          <w:sz w:val="24"/>
          <w:szCs w:val="24"/>
        </w:rPr>
        <w:t xml:space="preserve">rly, or as a reward for having </w:t>
      </w:r>
      <w:r w:rsidRPr="0015240E">
        <w:rPr>
          <w:rFonts w:ascii="Arial" w:hAnsi="Arial" w:cs="Arial"/>
          <w:sz w:val="24"/>
          <w:szCs w:val="24"/>
        </w:rPr>
        <w:t>already done so.</w:t>
      </w:r>
    </w:p>
    <w:p w14:paraId="5A3671D5" w14:textId="77777777" w:rsidR="00A1241C" w:rsidRPr="0015240E" w:rsidRDefault="00A1241C" w:rsidP="0015240E">
      <w:pPr>
        <w:pStyle w:val="ListParagraph"/>
        <w:numPr>
          <w:ilvl w:val="0"/>
          <w:numId w:val="6"/>
        </w:numPr>
        <w:jc w:val="both"/>
        <w:rPr>
          <w:rFonts w:ascii="Arial" w:hAnsi="Arial" w:cs="Arial"/>
          <w:sz w:val="24"/>
          <w:szCs w:val="24"/>
        </w:rPr>
      </w:pPr>
      <w:r w:rsidRPr="0015240E">
        <w:rPr>
          <w:rFonts w:ascii="Arial" w:hAnsi="Arial" w:cs="Arial"/>
          <w:sz w:val="24"/>
          <w:szCs w:val="24"/>
        </w:rPr>
        <w:t xml:space="preserve">To bribe a foreign public official - A person will be guilty of this offence if they promise, </w:t>
      </w:r>
      <w:proofErr w:type="gramStart"/>
      <w:r w:rsidRPr="0015240E">
        <w:rPr>
          <w:rFonts w:ascii="Arial" w:hAnsi="Arial" w:cs="Arial"/>
          <w:sz w:val="24"/>
          <w:szCs w:val="24"/>
        </w:rPr>
        <w:t>offer</w:t>
      </w:r>
      <w:proofErr w:type="gramEnd"/>
      <w:r w:rsidRPr="0015240E">
        <w:rPr>
          <w:rFonts w:ascii="Arial" w:hAnsi="Arial" w:cs="Arial"/>
          <w:sz w:val="24"/>
          <w:szCs w:val="24"/>
        </w:rPr>
        <w:t xml:space="preserve"> or give a financial or other advantage to a foreign public official, either directly or through a third party, where such an advantage is not legitimately due.</w:t>
      </w:r>
    </w:p>
    <w:p w14:paraId="75B9E253" w14:textId="77777777" w:rsidR="00A1241C" w:rsidRPr="0015240E" w:rsidRDefault="00A1241C" w:rsidP="0015240E">
      <w:pPr>
        <w:pStyle w:val="ListParagraph"/>
        <w:numPr>
          <w:ilvl w:val="0"/>
          <w:numId w:val="6"/>
        </w:numPr>
        <w:jc w:val="both"/>
        <w:rPr>
          <w:rFonts w:ascii="Arial" w:hAnsi="Arial" w:cs="Arial"/>
          <w:sz w:val="24"/>
          <w:szCs w:val="24"/>
        </w:rPr>
      </w:pPr>
      <w:r w:rsidRPr="0015240E">
        <w:rPr>
          <w:rFonts w:ascii="Arial" w:hAnsi="Arial" w:cs="Arial"/>
          <w:sz w:val="24"/>
          <w:szCs w:val="24"/>
        </w:rPr>
        <w:t>If commercial organisations fail to embed preventative bribery measures.  This applies to all commercial organisations which have business in the UK. Unlike corporate manslaughter this does not only apply to the organisation itself; individuals and employees may also be guilty.</w:t>
      </w:r>
    </w:p>
    <w:p w14:paraId="772C8435" w14:textId="77777777" w:rsidR="00A1241C" w:rsidRPr="00A1241C" w:rsidRDefault="00A1241C" w:rsidP="00A1241C">
      <w:pPr>
        <w:autoSpaceDE w:val="0"/>
        <w:autoSpaceDN w:val="0"/>
        <w:adjustRightInd w:val="0"/>
        <w:spacing w:after="0" w:line="240" w:lineRule="auto"/>
        <w:ind w:left="720"/>
        <w:rPr>
          <w:rFonts w:ascii="Arial" w:hAnsi="Arial" w:cs="Arial"/>
          <w:color w:val="000000"/>
        </w:rPr>
      </w:pPr>
    </w:p>
    <w:p w14:paraId="01D8E16A" w14:textId="77777777" w:rsidR="00A1241C" w:rsidRPr="0015240E" w:rsidRDefault="00A1241C" w:rsidP="0015240E">
      <w:pPr>
        <w:spacing w:after="0" w:line="240" w:lineRule="auto"/>
        <w:contextualSpacing/>
        <w:jc w:val="both"/>
        <w:rPr>
          <w:rFonts w:ascii="Arial" w:hAnsi="Arial" w:cs="Arial"/>
          <w:color w:val="000000"/>
          <w:sz w:val="24"/>
          <w:szCs w:val="24"/>
        </w:rPr>
      </w:pPr>
      <w:r w:rsidRPr="0015240E">
        <w:rPr>
          <w:rFonts w:ascii="Arial" w:hAnsi="Arial" w:cs="Arial"/>
          <w:color w:val="000000"/>
          <w:sz w:val="24"/>
          <w:szCs w:val="24"/>
        </w:rPr>
        <w:t>These offences can be committed directly or by and through a third person and other related policies and documentation (as detailed on the CCG intranet) when considering whether to offer or accept gifts and hospitality and/or other incentives.</w:t>
      </w:r>
    </w:p>
    <w:p w14:paraId="784C523B" w14:textId="77777777" w:rsidR="00A1241C" w:rsidRPr="0015240E" w:rsidRDefault="00A1241C" w:rsidP="0015240E">
      <w:pPr>
        <w:autoSpaceDE w:val="0"/>
        <w:autoSpaceDN w:val="0"/>
        <w:adjustRightInd w:val="0"/>
        <w:spacing w:after="0" w:line="240" w:lineRule="auto"/>
        <w:ind w:left="720"/>
        <w:jc w:val="both"/>
        <w:rPr>
          <w:rFonts w:ascii="Arial" w:hAnsi="Arial" w:cs="Arial"/>
          <w:color w:val="000000"/>
          <w:sz w:val="24"/>
          <w:szCs w:val="24"/>
        </w:rPr>
      </w:pPr>
    </w:p>
    <w:p w14:paraId="22FBA084" w14:textId="77777777" w:rsidR="00A1241C" w:rsidRPr="0015240E" w:rsidRDefault="00A1241C" w:rsidP="0015240E">
      <w:pPr>
        <w:spacing w:after="0" w:line="240" w:lineRule="auto"/>
        <w:contextualSpacing/>
        <w:jc w:val="both"/>
        <w:rPr>
          <w:rFonts w:ascii="Arial" w:eastAsia="Times New Roman" w:hAnsi="Arial" w:cs="Times New Roman"/>
          <w:sz w:val="24"/>
          <w:szCs w:val="24"/>
          <w:lang w:eastAsia="en-GB"/>
        </w:rPr>
      </w:pPr>
      <w:r w:rsidRPr="0015240E">
        <w:rPr>
          <w:rFonts w:ascii="Arial" w:eastAsia="Times New Roman" w:hAnsi="Arial" w:cs="Times New Roman"/>
          <w:sz w:val="24"/>
          <w:szCs w:val="24"/>
          <w:lang w:eastAsia="en-GB"/>
        </w:rPr>
        <w:t>Anyone with concerns or reasonably held suspicions about potentially fraudulent activity or practice should refer to the Local Anti-Fraud and Corruption Policy and contact the Local Counter Fraud Specialist.</w:t>
      </w:r>
    </w:p>
    <w:p w14:paraId="2A49B4E8" w14:textId="77777777" w:rsidR="00A1241C" w:rsidRPr="0015240E" w:rsidRDefault="005245E5" w:rsidP="00A1241C">
      <w:pPr>
        <w:spacing w:after="0" w:line="240" w:lineRule="auto"/>
        <w:contextualSpacing/>
        <w:rPr>
          <w:rFonts w:ascii="Arial" w:eastAsia="Times New Roman" w:hAnsi="Arial" w:cs="Arial"/>
          <w:sz w:val="24"/>
          <w:szCs w:val="24"/>
          <w:lang w:eastAsia="en-GB"/>
        </w:rPr>
      </w:pPr>
      <w:hyperlink r:id="rId10" w:history="1">
        <w:r w:rsidR="00A1241C" w:rsidRPr="0015240E">
          <w:rPr>
            <w:rStyle w:val="Hyperlink"/>
            <w:rFonts w:ascii="Arial" w:hAnsi="Arial" w:cs="Arial"/>
            <w:sz w:val="24"/>
            <w:szCs w:val="24"/>
          </w:rPr>
          <w:t>http://www.northeastlincolnshireccg.nhs.uk/countering-fraud-in-the-nhs</w:t>
        </w:r>
      </w:hyperlink>
    </w:p>
    <w:p w14:paraId="68ADF0A9" w14:textId="77777777" w:rsidR="0015240E" w:rsidRPr="00B16CEA" w:rsidRDefault="0015240E" w:rsidP="00A1241C">
      <w:pPr>
        <w:spacing w:after="0" w:line="240" w:lineRule="auto"/>
        <w:contextualSpacing/>
        <w:rPr>
          <w:rFonts w:ascii="Arial" w:hAnsi="Arial" w:cs="Arial"/>
          <w:sz w:val="24"/>
          <w:szCs w:val="24"/>
        </w:rPr>
      </w:pPr>
    </w:p>
    <w:p w14:paraId="73F66F10" w14:textId="77777777" w:rsidR="00B16CEA" w:rsidRPr="00B16CEA" w:rsidRDefault="00B16CEA" w:rsidP="00B16CEA">
      <w:pPr>
        <w:numPr>
          <w:ilvl w:val="0"/>
          <w:numId w:val="1"/>
        </w:numPr>
        <w:spacing w:after="0" w:line="240" w:lineRule="auto"/>
        <w:contextualSpacing/>
        <w:rPr>
          <w:rFonts w:ascii="Arial" w:hAnsi="Arial" w:cs="Arial"/>
          <w:b/>
          <w:sz w:val="24"/>
          <w:szCs w:val="24"/>
        </w:rPr>
      </w:pPr>
      <w:r w:rsidRPr="00B16CEA">
        <w:rPr>
          <w:rFonts w:ascii="Arial" w:hAnsi="Arial" w:cs="Arial"/>
          <w:b/>
          <w:sz w:val="24"/>
          <w:szCs w:val="24"/>
        </w:rPr>
        <w:t>SCOPE</w:t>
      </w:r>
    </w:p>
    <w:p w14:paraId="500FB9B0" w14:textId="77777777" w:rsidR="00B16CEA" w:rsidRPr="00B16CEA" w:rsidRDefault="00B16CEA" w:rsidP="00B16CEA">
      <w:pPr>
        <w:spacing w:after="0" w:line="240" w:lineRule="auto"/>
        <w:contextualSpacing/>
        <w:rPr>
          <w:rFonts w:ascii="Arial" w:hAnsi="Arial" w:cs="Arial"/>
          <w:b/>
          <w:sz w:val="24"/>
          <w:szCs w:val="24"/>
        </w:rPr>
      </w:pPr>
    </w:p>
    <w:p w14:paraId="06537EF7" w14:textId="77777777" w:rsidR="00B16CEA" w:rsidRPr="00B16CEA" w:rsidRDefault="00B16CEA" w:rsidP="0015240E">
      <w:pPr>
        <w:spacing w:after="0" w:line="240" w:lineRule="auto"/>
        <w:contextualSpacing/>
        <w:jc w:val="both"/>
        <w:rPr>
          <w:rFonts w:ascii="Arial" w:hAnsi="Arial" w:cs="Arial"/>
          <w:sz w:val="24"/>
          <w:szCs w:val="24"/>
        </w:rPr>
      </w:pPr>
      <w:r w:rsidRPr="00B16CEA">
        <w:rPr>
          <w:rFonts w:ascii="Arial" w:hAnsi="Arial" w:cs="Arial"/>
          <w:sz w:val="24"/>
          <w:szCs w:val="24"/>
        </w:rPr>
        <w:t>This policy applies to:</w:t>
      </w:r>
    </w:p>
    <w:p w14:paraId="4C3A7E08" w14:textId="77777777" w:rsidR="00B16CEA" w:rsidRPr="00B16CEA" w:rsidRDefault="00B16CEA" w:rsidP="0015240E">
      <w:pPr>
        <w:spacing w:after="0" w:line="240" w:lineRule="auto"/>
        <w:contextualSpacing/>
        <w:jc w:val="both"/>
        <w:rPr>
          <w:rFonts w:ascii="Arial" w:hAnsi="Arial" w:cs="Arial"/>
          <w:sz w:val="24"/>
          <w:szCs w:val="24"/>
        </w:rPr>
      </w:pPr>
    </w:p>
    <w:p w14:paraId="7B01CA80" w14:textId="77777777" w:rsidR="00B16CEA" w:rsidRPr="00B16CEA" w:rsidRDefault="00B16CEA" w:rsidP="0015240E">
      <w:pPr>
        <w:spacing w:after="0" w:line="240" w:lineRule="auto"/>
        <w:contextualSpacing/>
        <w:jc w:val="both"/>
        <w:rPr>
          <w:rFonts w:ascii="Arial" w:hAnsi="Arial" w:cs="Arial"/>
          <w:sz w:val="24"/>
          <w:szCs w:val="24"/>
        </w:rPr>
      </w:pPr>
      <w:r w:rsidRPr="00B16CEA">
        <w:rPr>
          <w:rFonts w:ascii="Arial" w:hAnsi="Arial" w:cs="Arial"/>
          <w:sz w:val="24"/>
          <w:szCs w:val="24"/>
        </w:rPr>
        <w:t>All employees of the CCG, any staff who are seconded to the CCG,</w:t>
      </w:r>
      <w:r w:rsidR="00A8357C">
        <w:rPr>
          <w:rFonts w:ascii="Arial" w:hAnsi="Arial" w:cs="Arial"/>
          <w:sz w:val="24"/>
          <w:szCs w:val="24"/>
        </w:rPr>
        <w:t xml:space="preserve"> </w:t>
      </w:r>
      <w:r w:rsidRPr="00B16CEA">
        <w:rPr>
          <w:rFonts w:ascii="Arial" w:hAnsi="Arial" w:cs="Arial"/>
          <w:sz w:val="24"/>
          <w:szCs w:val="24"/>
        </w:rPr>
        <w:t>contract and agency staff and any other individual working on CCG premises.</w:t>
      </w:r>
    </w:p>
    <w:p w14:paraId="0EC2894A" w14:textId="77777777" w:rsidR="00B16CEA" w:rsidRPr="00B16CEA" w:rsidRDefault="00B16CEA" w:rsidP="0015240E">
      <w:pPr>
        <w:spacing w:after="0" w:line="240" w:lineRule="auto"/>
        <w:jc w:val="both"/>
        <w:rPr>
          <w:rFonts w:ascii="Arial" w:hAnsi="Arial" w:cs="Arial"/>
          <w:sz w:val="24"/>
          <w:szCs w:val="24"/>
        </w:rPr>
      </w:pPr>
    </w:p>
    <w:p w14:paraId="581987DD" w14:textId="77777777" w:rsidR="00B16CEA" w:rsidRPr="00B16CEA" w:rsidRDefault="00355D19" w:rsidP="0015240E">
      <w:pPr>
        <w:spacing w:after="0" w:line="240" w:lineRule="auto"/>
        <w:contextualSpacing/>
        <w:jc w:val="both"/>
        <w:rPr>
          <w:rFonts w:ascii="Arial" w:hAnsi="Arial" w:cs="Arial"/>
          <w:sz w:val="24"/>
          <w:szCs w:val="24"/>
        </w:rPr>
      </w:pPr>
      <w:r>
        <w:rPr>
          <w:rFonts w:ascii="Arial" w:hAnsi="Arial" w:cs="Arial"/>
          <w:sz w:val="24"/>
          <w:szCs w:val="24"/>
        </w:rPr>
        <w:t xml:space="preserve">Employees </w:t>
      </w:r>
      <w:r w:rsidR="00B16CEA" w:rsidRPr="00B16CEA">
        <w:rPr>
          <w:rFonts w:ascii="Arial" w:hAnsi="Arial" w:cs="Arial"/>
          <w:sz w:val="24"/>
          <w:szCs w:val="24"/>
        </w:rPr>
        <w:t xml:space="preserve">who work within </w:t>
      </w:r>
      <w:r w:rsidR="00380DE7">
        <w:rPr>
          <w:rFonts w:ascii="Arial" w:hAnsi="Arial" w:cs="Arial"/>
          <w:sz w:val="24"/>
          <w:szCs w:val="24"/>
        </w:rPr>
        <w:t xml:space="preserve">North East Commissioning Support unit in </w:t>
      </w:r>
      <w:r w:rsidR="00B16CEA" w:rsidRPr="00B16CEA">
        <w:rPr>
          <w:rFonts w:ascii="Arial" w:hAnsi="Arial" w:cs="Arial"/>
          <w:sz w:val="24"/>
          <w:szCs w:val="24"/>
        </w:rPr>
        <w:t xml:space="preserve">the IFR team, any staff who are seconded to the IFR team, </w:t>
      </w:r>
      <w:proofErr w:type="gramStart"/>
      <w:r w:rsidR="00B16CEA" w:rsidRPr="00B16CEA">
        <w:rPr>
          <w:rFonts w:ascii="Arial" w:hAnsi="Arial" w:cs="Arial"/>
          <w:sz w:val="24"/>
          <w:szCs w:val="24"/>
        </w:rPr>
        <w:t>contract</w:t>
      </w:r>
      <w:proofErr w:type="gramEnd"/>
      <w:r w:rsidR="00B16CEA" w:rsidRPr="00B16CEA">
        <w:rPr>
          <w:rFonts w:ascii="Arial" w:hAnsi="Arial" w:cs="Arial"/>
          <w:sz w:val="24"/>
          <w:szCs w:val="24"/>
        </w:rPr>
        <w:t xml:space="preserve"> and agency staff.</w:t>
      </w:r>
    </w:p>
    <w:p w14:paraId="667E1B06" w14:textId="77777777" w:rsidR="00B16CEA" w:rsidRPr="00B16CEA" w:rsidRDefault="00B16CEA" w:rsidP="0015240E">
      <w:pPr>
        <w:spacing w:after="0" w:line="240" w:lineRule="auto"/>
        <w:jc w:val="both"/>
        <w:rPr>
          <w:rFonts w:ascii="Arial" w:hAnsi="Arial" w:cs="Arial"/>
          <w:sz w:val="24"/>
          <w:szCs w:val="24"/>
        </w:rPr>
      </w:pPr>
    </w:p>
    <w:p w14:paraId="0EDFAB0C" w14:textId="77777777" w:rsidR="00B16CEA" w:rsidRDefault="00B16CEA" w:rsidP="0015240E">
      <w:pPr>
        <w:spacing w:after="0" w:line="240" w:lineRule="auto"/>
        <w:contextualSpacing/>
        <w:jc w:val="both"/>
        <w:rPr>
          <w:rFonts w:ascii="Arial" w:hAnsi="Arial" w:cs="Arial"/>
          <w:sz w:val="24"/>
          <w:szCs w:val="24"/>
        </w:rPr>
      </w:pPr>
      <w:r w:rsidRPr="00B16CEA">
        <w:rPr>
          <w:rFonts w:ascii="Arial" w:hAnsi="Arial" w:cs="Arial"/>
          <w:sz w:val="24"/>
          <w:szCs w:val="24"/>
        </w:rPr>
        <w:t>All referring clinicians within primary, secondary and tertiary care.</w:t>
      </w:r>
    </w:p>
    <w:p w14:paraId="35B1941F" w14:textId="77777777" w:rsidR="0015240E" w:rsidRDefault="0015240E" w:rsidP="0015240E">
      <w:pPr>
        <w:spacing w:after="0" w:line="240" w:lineRule="auto"/>
        <w:contextualSpacing/>
        <w:jc w:val="both"/>
        <w:rPr>
          <w:rFonts w:ascii="Arial" w:hAnsi="Arial" w:cs="Arial"/>
          <w:sz w:val="24"/>
          <w:szCs w:val="24"/>
        </w:rPr>
      </w:pPr>
    </w:p>
    <w:p w14:paraId="788C3BE8" w14:textId="77777777" w:rsidR="0015240E" w:rsidRPr="00B16CEA" w:rsidRDefault="0015240E" w:rsidP="0015240E">
      <w:pPr>
        <w:spacing w:after="0" w:line="240" w:lineRule="auto"/>
        <w:contextualSpacing/>
        <w:jc w:val="both"/>
        <w:rPr>
          <w:rFonts w:ascii="Arial" w:hAnsi="Arial" w:cs="Arial"/>
          <w:sz w:val="24"/>
          <w:szCs w:val="24"/>
        </w:rPr>
      </w:pPr>
    </w:p>
    <w:p w14:paraId="36E31A89" w14:textId="77777777" w:rsidR="004D17E8" w:rsidRPr="00B16CEA" w:rsidRDefault="004D17E8" w:rsidP="0015240E">
      <w:pPr>
        <w:spacing w:after="0" w:line="240" w:lineRule="auto"/>
        <w:jc w:val="both"/>
        <w:rPr>
          <w:rFonts w:ascii="Arial" w:hAnsi="Arial" w:cs="Arial"/>
          <w:sz w:val="24"/>
          <w:szCs w:val="24"/>
        </w:rPr>
      </w:pPr>
    </w:p>
    <w:p w14:paraId="417DB8EF" w14:textId="77777777" w:rsidR="00B16CEA" w:rsidRPr="00B16CEA" w:rsidRDefault="00B16CEA" w:rsidP="00B16CEA">
      <w:pPr>
        <w:numPr>
          <w:ilvl w:val="0"/>
          <w:numId w:val="1"/>
        </w:numPr>
        <w:spacing w:after="0" w:line="240" w:lineRule="auto"/>
        <w:contextualSpacing/>
        <w:rPr>
          <w:rFonts w:ascii="Arial" w:hAnsi="Arial" w:cs="Arial"/>
          <w:b/>
          <w:sz w:val="24"/>
          <w:szCs w:val="24"/>
        </w:rPr>
      </w:pPr>
      <w:r w:rsidRPr="00B16CEA">
        <w:rPr>
          <w:rFonts w:ascii="Arial" w:hAnsi="Arial" w:cs="Arial"/>
          <w:b/>
          <w:sz w:val="24"/>
          <w:szCs w:val="24"/>
        </w:rPr>
        <w:t>POLICY PURPOSE &amp; AIMS</w:t>
      </w:r>
    </w:p>
    <w:p w14:paraId="0F2C8763" w14:textId="77777777" w:rsidR="00B16CEA" w:rsidRPr="00B16CEA" w:rsidRDefault="00B16CEA" w:rsidP="00B16CEA">
      <w:pPr>
        <w:spacing w:after="0" w:line="240" w:lineRule="auto"/>
        <w:rPr>
          <w:rFonts w:ascii="Arial" w:hAnsi="Arial" w:cs="Arial"/>
          <w:b/>
          <w:sz w:val="24"/>
          <w:szCs w:val="24"/>
        </w:rPr>
      </w:pPr>
    </w:p>
    <w:p w14:paraId="3A529D48" w14:textId="77777777" w:rsidR="00B16CEA" w:rsidRPr="00B16CEA" w:rsidRDefault="00B16CEA" w:rsidP="00B16CEA">
      <w:pPr>
        <w:spacing w:after="0" w:line="240" w:lineRule="auto"/>
        <w:rPr>
          <w:rFonts w:ascii="Arial" w:hAnsi="Arial" w:cs="Arial"/>
          <w:sz w:val="24"/>
          <w:szCs w:val="24"/>
        </w:rPr>
      </w:pPr>
      <w:r w:rsidRPr="00B16CEA">
        <w:rPr>
          <w:rFonts w:ascii="Arial" w:hAnsi="Arial" w:cs="Arial"/>
          <w:sz w:val="24"/>
          <w:szCs w:val="24"/>
        </w:rPr>
        <w:t>The purpose of the Individual Funding Request (IFR)</w:t>
      </w:r>
      <w:r w:rsidR="00564F8B">
        <w:rPr>
          <w:rFonts w:ascii="Arial" w:hAnsi="Arial" w:cs="Arial"/>
          <w:sz w:val="24"/>
          <w:szCs w:val="24"/>
        </w:rPr>
        <w:t xml:space="preserve"> and Prior Approval (PA)</w:t>
      </w:r>
      <w:r w:rsidRPr="00B16CEA">
        <w:rPr>
          <w:rFonts w:ascii="Arial" w:hAnsi="Arial" w:cs="Arial"/>
          <w:sz w:val="24"/>
          <w:szCs w:val="24"/>
        </w:rPr>
        <w:t xml:space="preserve"> policy is to:</w:t>
      </w:r>
    </w:p>
    <w:p w14:paraId="0E68B577" w14:textId="77777777" w:rsidR="00B16CEA" w:rsidRPr="00B16CEA" w:rsidRDefault="00B16CEA" w:rsidP="00B16CEA">
      <w:pPr>
        <w:spacing w:after="0" w:line="240" w:lineRule="auto"/>
        <w:rPr>
          <w:rFonts w:ascii="Arial" w:hAnsi="Arial" w:cs="Arial"/>
          <w:sz w:val="24"/>
          <w:szCs w:val="24"/>
        </w:rPr>
      </w:pPr>
    </w:p>
    <w:p w14:paraId="620655B1" w14:textId="77777777" w:rsidR="00B16CEA" w:rsidRPr="00415165" w:rsidRDefault="00B16CEA" w:rsidP="0015240E">
      <w:pPr>
        <w:pStyle w:val="ListParagraph"/>
        <w:numPr>
          <w:ilvl w:val="0"/>
          <w:numId w:val="6"/>
        </w:numPr>
        <w:jc w:val="both"/>
        <w:rPr>
          <w:rFonts w:ascii="Arial" w:hAnsi="Arial" w:cs="Arial"/>
          <w:sz w:val="24"/>
          <w:szCs w:val="24"/>
        </w:rPr>
      </w:pPr>
      <w:r w:rsidRPr="00415165">
        <w:rPr>
          <w:rFonts w:ascii="Arial" w:hAnsi="Arial" w:cs="Arial"/>
          <w:sz w:val="24"/>
          <w:szCs w:val="24"/>
        </w:rPr>
        <w:t xml:space="preserve">Explain the difficult choices faced by the CCG and how the CCG has made the decision to prioritise resources to ensure the best health outcomes for the population it </w:t>
      </w:r>
      <w:proofErr w:type="gramStart"/>
      <w:r w:rsidRPr="00415165">
        <w:rPr>
          <w:rFonts w:ascii="Arial" w:hAnsi="Arial" w:cs="Arial"/>
          <w:sz w:val="24"/>
          <w:szCs w:val="24"/>
        </w:rPr>
        <w:t>serves</w:t>
      </w:r>
      <w:proofErr w:type="gramEnd"/>
    </w:p>
    <w:p w14:paraId="281261BC" w14:textId="77777777" w:rsidR="00B16CEA" w:rsidRPr="00415165" w:rsidRDefault="00B16CEA" w:rsidP="0015240E">
      <w:pPr>
        <w:pStyle w:val="ListParagraph"/>
        <w:numPr>
          <w:ilvl w:val="0"/>
          <w:numId w:val="6"/>
        </w:numPr>
        <w:jc w:val="both"/>
        <w:rPr>
          <w:rFonts w:ascii="Arial" w:hAnsi="Arial" w:cs="Arial"/>
          <w:sz w:val="24"/>
          <w:szCs w:val="24"/>
        </w:rPr>
      </w:pPr>
      <w:r w:rsidRPr="00415165">
        <w:rPr>
          <w:rFonts w:ascii="Arial" w:hAnsi="Arial" w:cs="Arial"/>
          <w:sz w:val="24"/>
          <w:szCs w:val="24"/>
        </w:rPr>
        <w:t xml:space="preserve">Set the </w:t>
      </w:r>
      <w:proofErr w:type="gramStart"/>
      <w:r w:rsidRPr="00415165">
        <w:rPr>
          <w:rFonts w:ascii="Arial" w:hAnsi="Arial" w:cs="Arial"/>
          <w:sz w:val="24"/>
          <w:szCs w:val="24"/>
        </w:rPr>
        <w:t>decision making</w:t>
      </w:r>
      <w:proofErr w:type="gramEnd"/>
      <w:r w:rsidRPr="00415165">
        <w:rPr>
          <w:rFonts w:ascii="Arial" w:hAnsi="Arial" w:cs="Arial"/>
          <w:sz w:val="24"/>
          <w:szCs w:val="24"/>
        </w:rPr>
        <w:t xml:space="preserve"> process within an ethical context and to demonstrate a clear process for decision making</w:t>
      </w:r>
    </w:p>
    <w:p w14:paraId="643C3B7E" w14:textId="77777777" w:rsidR="00B16CEA" w:rsidRPr="00415165" w:rsidRDefault="00B16CEA" w:rsidP="0015240E">
      <w:pPr>
        <w:pStyle w:val="ListParagraph"/>
        <w:numPr>
          <w:ilvl w:val="0"/>
          <w:numId w:val="6"/>
        </w:numPr>
        <w:jc w:val="both"/>
        <w:rPr>
          <w:rFonts w:ascii="Arial" w:hAnsi="Arial" w:cs="Arial"/>
          <w:sz w:val="24"/>
          <w:szCs w:val="24"/>
        </w:rPr>
      </w:pPr>
      <w:r w:rsidRPr="00415165">
        <w:rPr>
          <w:rFonts w:ascii="Arial" w:hAnsi="Arial" w:cs="Arial"/>
          <w:sz w:val="24"/>
          <w:szCs w:val="24"/>
        </w:rPr>
        <w:t xml:space="preserve">Inform health professionals about the policy in operation and how to request restricted treatments or appeal against individual decisions to decline a request for a restricted </w:t>
      </w:r>
      <w:proofErr w:type="gramStart"/>
      <w:r w:rsidRPr="00415165">
        <w:rPr>
          <w:rFonts w:ascii="Arial" w:hAnsi="Arial" w:cs="Arial"/>
          <w:sz w:val="24"/>
          <w:szCs w:val="24"/>
        </w:rPr>
        <w:t>treatment</w:t>
      </w:r>
      <w:proofErr w:type="gramEnd"/>
    </w:p>
    <w:p w14:paraId="75C33493" w14:textId="77777777" w:rsidR="00B16CEA" w:rsidRPr="00415165" w:rsidRDefault="00B16CEA" w:rsidP="0015240E">
      <w:pPr>
        <w:pStyle w:val="ListParagraph"/>
        <w:numPr>
          <w:ilvl w:val="0"/>
          <w:numId w:val="6"/>
        </w:numPr>
        <w:jc w:val="both"/>
        <w:rPr>
          <w:rFonts w:ascii="Arial" w:hAnsi="Arial" w:cs="Arial"/>
          <w:sz w:val="24"/>
          <w:szCs w:val="24"/>
        </w:rPr>
      </w:pPr>
      <w:r w:rsidRPr="00415165">
        <w:rPr>
          <w:rFonts w:ascii="Arial" w:hAnsi="Arial" w:cs="Arial"/>
          <w:sz w:val="24"/>
          <w:szCs w:val="24"/>
        </w:rPr>
        <w:t xml:space="preserve">Ensure decisions are made in a fair, open, transparent and consistent </w:t>
      </w:r>
      <w:proofErr w:type="gramStart"/>
      <w:r w:rsidRPr="00415165">
        <w:rPr>
          <w:rFonts w:ascii="Arial" w:hAnsi="Arial" w:cs="Arial"/>
          <w:sz w:val="24"/>
          <w:szCs w:val="24"/>
        </w:rPr>
        <w:t>manner</w:t>
      </w:r>
      <w:proofErr w:type="gramEnd"/>
    </w:p>
    <w:p w14:paraId="5CC4E981" w14:textId="77777777" w:rsidR="00B16CEA" w:rsidRPr="00415165" w:rsidRDefault="00B16CEA" w:rsidP="0015240E">
      <w:pPr>
        <w:pStyle w:val="ListParagraph"/>
        <w:numPr>
          <w:ilvl w:val="0"/>
          <w:numId w:val="6"/>
        </w:numPr>
        <w:jc w:val="both"/>
        <w:rPr>
          <w:rFonts w:ascii="Arial" w:hAnsi="Arial" w:cs="Arial"/>
          <w:sz w:val="24"/>
          <w:szCs w:val="24"/>
        </w:rPr>
      </w:pPr>
      <w:r w:rsidRPr="00415165">
        <w:rPr>
          <w:rFonts w:ascii="Arial" w:hAnsi="Arial" w:cs="Arial"/>
          <w:sz w:val="24"/>
          <w:szCs w:val="24"/>
        </w:rPr>
        <w:t xml:space="preserve">Provide a firm and robust background against which appeals can be </w:t>
      </w:r>
      <w:proofErr w:type="gramStart"/>
      <w:r w:rsidRPr="00415165">
        <w:rPr>
          <w:rFonts w:ascii="Arial" w:hAnsi="Arial" w:cs="Arial"/>
          <w:sz w:val="24"/>
          <w:szCs w:val="24"/>
        </w:rPr>
        <w:t>judged</w:t>
      </w:r>
      <w:proofErr w:type="gramEnd"/>
    </w:p>
    <w:p w14:paraId="093EEEAE" w14:textId="77777777" w:rsidR="00B16CEA" w:rsidRPr="00415165" w:rsidRDefault="00B16CEA" w:rsidP="0015240E">
      <w:pPr>
        <w:pStyle w:val="ListParagraph"/>
        <w:numPr>
          <w:ilvl w:val="0"/>
          <w:numId w:val="6"/>
        </w:numPr>
        <w:jc w:val="both"/>
        <w:rPr>
          <w:rFonts w:ascii="Arial" w:hAnsi="Arial" w:cs="Arial"/>
          <w:sz w:val="24"/>
          <w:szCs w:val="24"/>
        </w:rPr>
      </w:pPr>
      <w:r w:rsidRPr="00415165">
        <w:rPr>
          <w:rFonts w:ascii="Arial" w:hAnsi="Arial" w:cs="Arial"/>
          <w:sz w:val="24"/>
          <w:szCs w:val="24"/>
        </w:rPr>
        <w:t xml:space="preserve">Demonstrate a clear process for decision </w:t>
      </w:r>
      <w:proofErr w:type="gramStart"/>
      <w:r w:rsidRPr="00415165">
        <w:rPr>
          <w:rFonts w:ascii="Arial" w:hAnsi="Arial" w:cs="Arial"/>
          <w:sz w:val="24"/>
          <w:szCs w:val="24"/>
        </w:rPr>
        <w:t>making</w:t>
      </w:r>
      <w:proofErr w:type="gramEnd"/>
    </w:p>
    <w:p w14:paraId="4E574381" w14:textId="77777777" w:rsidR="00B16CEA" w:rsidRDefault="00B16CEA" w:rsidP="0015240E">
      <w:pPr>
        <w:pStyle w:val="ListParagraph"/>
        <w:numPr>
          <w:ilvl w:val="0"/>
          <w:numId w:val="6"/>
        </w:numPr>
        <w:jc w:val="both"/>
        <w:rPr>
          <w:rFonts w:ascii="Arial" w:hAnsi="Arial" w:cs="Arial"/>
          <w:sz w:val="24"/>
          <w:szCs w:val="24"/>
        </w:rPr>
      </w:pPr>
      <w:r w:rsidRPr="00415165">
        <w:rPr>
          <w:rFonts w:ascii="Arial" w:hAnsi="Arial" w:cs="Arial"/>
          <w:sz w:val="24"/>
          <w:szCs w:val="24"/>
        </w:rPr>
        <w:t>Demonstrate that CCG decisions not to commission or to restrict access to certain health care interventions are lawful and taken in line with government directions.</w:t>
      </w:r>
    </w:p>
    <w:p w14:paraId="04C591D8" w14:textId="77777777" w:rsidR="00564F8B" w:rsidRPr="00415165" w:rsidRDefault="00564F8B" w:rsidP="0015240E">
      <w:pPr>
        <w:pStyle w:val="ListParagraph"/>
        <w:numPr>
          <w:ilvl w:val="0"/>
          <w:numId w:val="6"/>
        </w:numPr>
        <w:jc w:val="both"/>
        <w:rPr>
          <w:rFonts w:ascii="Arial" w:hAnsi="Arial" w:cs="Arial"/>
          <w:sz w:val="24"/>
          <w:szCs w:val="24"/>
        </w:rPr>
      </w:pPr>
      <w:r>
        <w:rPr>
          <w:rFonts w:ascii="Arial" w:hAnsi="Arial" w:cs="Arial"/>
          <w:sz w:val="24"/>
          <w:szCs w:val="24"/>
        </w:rPr>
        <w:t xml:space="preserve">Updates its policy in line with National Contract Amendments on Evidence Based Interventions which mandate the treatment for a number of treatments, which the CCG already had in </w:t>
      </w:r>
      <w:proofErr w:type="gramStart"/>
      <w:r>
        <w:rPr>
          <w:rFonts w:ascii="Arial" w:hAnsi="Arial" w:cs="Arial"/>
          <w:sz w:val="24"/>
          <w:szCs w:val="24"/>
        </w:rPr>
        <w:t>place</w:t>
      </w:r>
      <w:proofErr w:type="gramEnd"/>
      <w:r>
        <w:rPr>
          <w:rFonts w:ascii="Arial" w:hAnsi="Arial" w:cs="Arial"/>
          <w:sz w:val="24"/>
          <w:szCs w:val="24"/>
        </w:rPr>
        <w:t xml:space="preserve"> but which formalises a national approach.</w:t>
      </w:r>
    </w:p>
    <w:p w14:paraId="2A78C71D" w14:textId="77777777" w:rsidR="00B16CEA" w:rsidRPr="00B16CEA" w:rsidRDefault="00B16CEA" w:rsidP="0015240E">
      <w:pPr>
        <w:spacing w:after="0" w:line="240" w:lineRule="auto"/>
        <w:jc w:val="both"/>
        <w:rPr>
          <w:rFonts w:ascii="Arial" w:hAnsi="Arial" w:cs="Arial"/>
          <w:sz w:val="24"/>
          <w:szCs w:val="24"/>
        </w:rPr>
      </w:pPr>
    </w:p>
    <w:p w14:paraId="767B6D7D" w14:textId="77777777" w:rsidR="00B16CEA" w:rsidRPr="00B16CEA" w:rsidRDefault="00B16CEA" w:rsidP="0015240E">
      <w:pPr>
        <w:spacing w:after="0" w:line="240" w:lineRule="auto"/>
        <w:jc w:val="both"/>
        <w:rPr>
          <w:rFonts w:ascii="Arial" w:hAnsi="Arial" w:cs="Arial"/>
          <w:sz w:val="24"/>
          <w:szCs w:val="24"/>
        </w:rPr>
      </w:pPr>
      <w:r w:rsidRPr="00B16CEA">
        <w:rPr>
          <w:rFonts w:ascii="Arial" w:hAnsi="Arial" w:cs="Arial"/>
          <w:sz w:val="24"/>
          <w:szCs w:val="24"/>
        </w:rPr>
        <w:t xml:space="preserve">It is recognised for patients to have timely treatment, clinicians across the community need to work together and </w:t>
      </w:r>
      <w:proofErr w:type="gramStart"/>
      <w:r w:rsidRPr="00B16CEA">
        <w:rPr>
          <w:rFonts w:ascii="Arial" w:hAnsi="Arial" w:cs="Arial"/>
          <w:sz w:val="24"/>
          <w:szCs w:val="24"/>
        </w:rPr>
        <w:t>have an understanding of</w:t>
      </w:r>
      <w:proofErr w:type="gramEnd"/>
      <w:r w:rsidRPr="00B16CEA">
        <w:rPr>
          <w:rFonts w:ascii="Arial" w:hAnsi="Arial" w:cs="Arial"/>
          <w:sz w:val="24"/>
          <w:szCs w:val="24"/>
        </w:rPr>
        <w:t xml:space="preserve"> what is in place across all sectors and not just in a single area.  All clinicians with the ability to treat and/or refer for interventions detailed within this schedule are requir</w:t>
      </w:r>
      <w:r w:rsidR="0015240E">
        <w:rPr>
          <w:rFonts w:ascii="Arial" w:hAnsi="Arial" w:cs="Arial"/>
          <w:sz w:val="24"/>
          <w:szCs w:val="24"/>
        </w:rPr>
        <w:t xml:space="preserve">ed to adhere to the principles </w:t>
      </w:r>
      <w:r w:rsidRPr="00B16CEA">
        <w:rPr>
          <w:rFonts w:ascii="Arial" w:hAnsi="Arial" w:cs="Arial"/>
          <w:sz w:val="24"/>
          <w:szCs w:val="24"/>
        </w:rPr>
        <w:t xml:space="preserve">contained within this document and the contract schedule.  This </w:t>
      </w:r>
      <w:proofErr w:type="gramStart"/>
      <w:r w:rsidRPr="00B16CEA">
        <w:rPr>
          <w:rFonts w:ascii="Arial" w:hAnsi="Arial" w:cs="Arial"/>
          <w:sz w:val="24"/>
          <w:szCs w:val="24"/>
        </w:rPr>
        <w:t>includes;</w:t>
      </w:r>
      <w:proofErr w:type="gramEnd"/>
      <w:r w:rsidRPr="00B16CEA">
        <w:rPr>
          <w:rFonts w:ascii="Arial" w:hAnsi="Arial" w:cs="Arial"/>
          <w:sz w:val="24"/>
          <w:szCs w:val="24"/>
        </w:rPr>
        <w:t xml:space="preserve"> General practitioners, Dentists, Opticians and Secondary Care Clinicians.  This list is by no means exhaustive.</w:t>
      </w:r>
    </w:p>
    <w:p w14:paraId="782438F6" w14:textId="77777777" w:rsidR="00B16CEA" w:rsidRPr="00B16CEA" w:rsidRDefault="00B16CEA" w:rsidP="00B16CEA">
      <w:pPr>
        <w:spacing w:after="0" w:line="240" w:lineRule="auto"/>
        <w:rPr>
          <w:rFonts w:ascii="Arial" w:hAnsi="Arial" w:cs="Arial"/>
          <w:sz w:val="24"/>
          <w:szCs w:val="24"/>
        </w:rPr>
      </w:pPr>
    </w:p>
    <w:p w14:paraId="20AA2C95" w14:textId="77777777" w:rsidR="00B16CEA" w:rsidRPr="00B16CEA" w:rsidRDefault="00DE4310" w:rsidP="00B16CEA">
      <w:pPr>
        <w:spacing w:after="0" w:line="240" w:lineRule="auto"/>
        <w:rPr>
          <w:rFonts w:ascii="Arial" w:hAnsi="Arial" w:cs="Arial"/>
          <w:b/>
          <w:sz w:val="24"/>
          <w:szCs w:val="24"/>
        </w:rPr>
      </w:pPr>
      <w:r>
        <w:rPr>
          <w:rFonts w:ascii="Arial" w:hAnsi="Arial" w:cs="Arial"/>
          <w:b/>
          <w:sz w:val="24"/>
          <w:szCs w:val="24"/>
        </w:rPr>
        <w:t>5</w:t>
      </w:r>
      <w:r w:rsidR="00B16CEA" w:rsidRPr="00B16CEA">
        <w:rPr>
          <w:rFonts w:ascii="Arial" w:hAnsi="Arial" w:cs="Arial"/>
          <w:b/>
          <w:sz w:val="24"/>
          <w:szCs w:val="24"/>
        </w:rPr>
        <w:t>.</w:t>
      </w:r>
      <w:r w:rsidR="00B16CEA" w:rsidRPr="00B16CEA">
        <w:rPr>
          <w:rFonts w:ascii="Arial" w:hAnsi="Arial" w:cs="Arial"/>
          <w:b/>
          <w:sz w:val="24"/>
          <w:szCs w:val="24"/>
        </w:rPr>
        <w:tab/>
        <w:t>DEFINITIONS</w:t>
      </w:r>
    </w:p>
    <w:p w14:paraId="3B7D034E" w14:textId="77777777" w:rsidR="002A326F" w:rsidRDefault="002A326F" w:rsidP="002A326F">
      <w:pPr>
        <w:autoSpaceDE w:val="0"/>
        <w:autoSpaceDN w:val="0"/>
        <w:adjustRightInd w:val="0"/>
        <w:spacing w:after="0" w:line="240" w:lineRule="auto"/>
        <w:rPr>
          <w:rFonts w:ascii="Calibri" w:hAnsi="Calibri" w:cs="Calibri"/>
          <w:color w:val="000000"/>
        </w:rPr>
      </w:pPr>
    </w:p>
    <w:p w14:paraId="45F4A37F" w14:textId="77777777" w:rsidR="002A326F" w:rsidRPr="00BD0F08" w:rsidRDefault="002A326F" w:rsidP="005D08EB">
      <w:pPr>
        <w:autoSpaceDE w:val="0"/>
        <w:autoSpaceDN w:val="0"/>
        <w:adjustRightInd w:val="0"/>
        <w:spacing w:after="0" w:line="240" w:lineRule="auto"/>
        <w:jc w:val="both"/>
        <w:rPr>
          <w:rFonts w:ascii="Arial" w:hAnsi="Arial" w:cs="Arial"/>
          <w:i/>
          <w:color w:val="000000"/>
        </w:rPr>
      </w:pPr>
      <w:r w:rsidRPr="00BD0F08">
        <w:rPr>
          <w:rFonts w:ascii="Arial" w:hAnsi="Arial" w:cs="Arial"/>
          <w:i/>
          <w:color w:val="000000"/>
        </w:rPr>
        <w:t xml:space="preserve">This document outlines North East Lincolnshire CCG’s clinical commissioning statements on interventions that are not routinely commissioned or are restricted. </w:t>
      </w:r>
    </w:p>
    <w:p w14:paraId="55312902" w14:textId="77777777" w:rsidR="002A326F" w:rsidRPr="00BD0F08" w:rsidRDefault="002A326F" w:rsidP="005D08EB">
      <w:pPr>
        <w:autoSpaceDE w:val="0"/>
        <w:autoSpaceDN w:val="0"/>
        <w:adjustRightInd w:val="0"/>
        <w:spacing w:after="0" w:line="240" w:lineRule="auto"/>
        <w:jc w:val="both"/>
        <w:rPr>
          <w:rFonts w:ascii="Arial" w:hAnsi="Arial" w:cs="Arial"/>
          <w:i/>
          <w:color w:val="000000"/>
        </w:rPr>
      </w:pPr>
    </w:p>
    <w:p w14:paraId="59FF24D1" w14:textId="77777777" w:rsidR="002A326F" w:rsidRPr="00BD0F08" w:rsidRDefault="002A326F" w:rsidP="005D08EB">
      <w:pPr>
        <w:autoSpaceDE w:val="0"/>
        <w:autoSpaceDN w:val="0"/>
        <w:adjustRightInd w:val="0"/>
        <w:spacing w:after="0" w:line="240" w:lineRule="auto"/>
        <w:jc w:val="both"/>
        <w:rPr>
          <w:rFonts w:ascii="Arial" w:hAnsi="Arial" w:cs="Arial"/>
          <w:i/>
          <w:color w:val="000000"/>
        </w:rPr>
      </w:pPr>
      <w:r w:rsidRPr="00BD0F08">
        <w:rPr>
          <w:rFonts w:ascii="Arial" w:hAnsi="Arial" w:cs="Arial"/>
          <w:i/>
          <w:color w:val="000000"/>
        </w:rPr>
        <w:t xml:space="preserve">The objective of this policy is to support CCG decision-making on these interventions and procedures, aiming to provide a statement on interventions based on the available evidence to enable a reasoned and structured process for individual cases to be considered for funding by the CCG. </w:t>
      </w:r>
    </w:p>
    <w:p w14:paraId="2C343FC4" w14:textId="77777777" w:rsidR="002A326F" w:rsidRPr="00BD0F08" w:rsidRDefault="002A326F" w:rsidP="005D08EB">
      <w:pPr>
        <w:autoSpaceDE w:val="0"/>
        <w:autoSpaceDN w:val="0"/>
        <w:adjustRightInd w:val="0"/>
        <w:spacing w:after="0" w:line="240" w:lineRule="auto"/>
        <w:jc w:val="both"/>
        <w:rPr>
          <w:rFonts w:ascii="Arial" w:hAnsi="Arial" w:cs="Arial"/>
          <w:i/>
          <w:color w:val="000000"/>
        </w:rPr>
      </w:pPr>
    </w:p>
    <w:p w14:paraId="6B7F13DF" w14:textId="77777777" w:rsidR="002A326F" w:rsidRPr="00BD0F08" w:rsidRDefault="002A326F" w:rsidP="005D08EB">
      <w:pPr>
        <w:autoSpaceDE w:val="0"/>
        <w:autoSpaceDN w:val="0"/>
        <w:adjustRightInd w:val="0"/>
        <w:spacing w:after="0" w:line="240" w:lineRule="auto"/>
        <w:jc w:val="both"/>
        <w:rPr>
          <w:rFonts w:ascii="Arial" w:hAnsi="Arial" w:cs="Arial"/>
          <w:i/>
          <w:color w:val="000000"/>
        </w:rPr>
      </w:pPr>
      <w:r w:rsidRPr="00BD0F08">
        <w:rPr>
          <w:rFonts w:ascii="Arial" w:hAnsi="Arial" w:cs="Arial"/>
          <w:i/>
          <w:color w:val="000000"/>
        </w:rPr>
        <w:t xml:space="preserve">This policy, in line with National terminology, classifies interventions as follows: </w:t>
      </w:r>
    </w:p>
    <w:p w14:paraId="052A51C5" w14:textId="77777777" w:rsidR="002A326F" w:rsidRPr="00BD0F08" w:rsidRDefault="002A326F" w:rsidP="005D08EB">
      <w:pPr>
        <w:autoSpaceDE w:val="0"/>
        <w:autoSpaceDN w:val="0"/>
        <w:adjustRightInd w:val="0"/>
        <w:spacing w:after="0" w:line="240" w:lineRule="auto"/>
        <w:jc w:val="both"/>
        <w:rPr>
          <w:rFonts w:ascii="Arial" w:hAnsi="Arial" w:cs="Arial"/>
          <w:i/>
          <w:color w:val="000000"/>
        </w:rPr>
      </w:pPr>
    </w:p>
    <w:p w14:paraId="438F9A81" w14:textId="77777777" w:rsidR="002A326F" w:rsidRPr="00BD0F08" w:rsidRDefault="002A326F" w:rsidP="005D08EB">
      <w:pPr>
        <w:autoSpaceDE w:val="0"/>
        <w:autoSpaceDN w:val="0"/>
        <w:adjustRightInd w:val="0"/>
        <w:spacing w:after="178" w:line="240" w:lineRule="auto"/>
        <w:jc w:val="both"/>
        <w:rPr>
          <w:rFonts w:ascii="Arial" w:hAnsi="Arial" w:cs="Arial"/>
          <w:i/>
          <w:color w:val="000000"/>
        </w:rPr>
      </w:pPr>
      <w:r w:rsidRPr="00BD0F08">
        <w:rPr>
          <w:rFonts w:ascii="Arial" w:hAnsi="Arial" w:cs="Arial"/>
          <w:i/>
          <w:color w:val="000000"/>
        </w:rPr>
        <w:t xml:space="preserve">- </w:t>
      </w:r>
      <w:r w:rsidRPr="00BD0F08">
        <w:rPr>
          <w:rFonts w:ascii="Arial" w:hAnsi="Arial" w:cs="Arial"/>
          <w:b/>
          <w:bCs/>
          <w:i/>
          <w:iCs/>
          <w:color w:val="000000"/>
        </w:rPr>
        <w:t xml:space="preserve">Category 1 Interventions </w:t>
      </w:r>
      <w:r w:rsidRPr="00BD0F08">
        <w:rPr>
          <w:rFonts w:ascii="Arial" w:hAnsi="Arial" w:cs="Arial"/>
          <w:i/>
          <w:color w:val="000000"/>
        </w:rPr>
        <w:t xml:space="preserve">– Interventions that are not routinely commissioned, due to there being little evidence to support the intervention. Cases are examined on an individual basis where clinical exceptionality is considered through the Individual Funding Request (IFR) </w:t>
      </w:r>
      <w:proofErr w:type="gramStart"/>
      <w:r w:rsidRPr="00BD0F08">
        <w:rPr>
          <w:rFonts w:ascii="Arial" w:hAnsi="Arial" w:cs="Arial"/>
          <w:i/>
          <w:color w:val="000000"/>
        </w:rPr>
        <w:t>process</w:t>
      </w:r>
      <w:proofErr w:type="gramEnd"/>
      <w:r w:rsidRPr="00BD0F08">
        <w:rPr>
          <w:rFonts w:ascii="Arial" w:hAnsi="Arial" w:cs="Arial"/>
          <w:i/>
          <w:color w:val="000000"/>
        </w:rPr>
        <w:t xml:space="preserve"> </w:t>
      </w:r>
    </w:p>
    <w:p w14:paraId="77271995" w14:textId="77777777" w:rsidR="005D0E6C" w:rsidRDefault="002A326F" w:rsidP="005D08EB">
      <w:pPr>
        <w:autoSpaceDE w:val="0"/>
        <w:autoSpaceDN w:val="0"/>
        <w:adjustRightInd w:val="0"/>
        <w:spacing w:after="0" w:line="240" w:lineRule="auto"/>
        <w:jc w:val="both"/>
        <w:rPr>
          <w:rFonts w:ascii="Arial" w:hAnsi="Arial" w:cs="Arial"/>
          <w:i/>
          <w:color w:val="000000"/>
        </w:rPr>
      </w:pPr>
      <w:r w:rsidRPr="00BD0F08">
        <w:rPr>
          <w:rFonts w:ascii="Arial" w:hAnsi="Arial" w:cs="Arial"/>
          <w:i/>
          <w:color w:val="000000"/>
        </w:rPr>
        <w:t xml:space="preserve">- </w:t>
      </w:r>
      <w:r w:rsidRPr="00BD0F08">
        <w:rPr>
          <w:rFonts w:ascii="Arial" w:hAnsi="Arial" w:cs="Arial"/>
          <w:b/>
          <w:bCs/>
          <w:i/>
          <w:iCs/>
          <w:color w:val="000000"/>
        </w:rPr>
        <w:t xml:space="preserve">Category 2 Interventions </w:t>
      </w:r>
      <w:r w:rsidRPr="00BD0F08">
        <w:rPr>
          <w:rFonts w:ascii="Arial" w:hAnsi="Arial" w:cs="Arial"/>
          <w:i/>
          <w:color w:val="000000"/>
        </w:rPr>
        <w:t xml:space="preserve">– Interventions are restricted and should only be performed after specific criteria are met </w:t>
      </w:r>
      <w:r w:rsidRPr="005D0E6C">
        <w:rPr>
          <w:rFonts w:ascii="Arial" w:hAnsi="Arial" w:cs="Arial"/>
          <w:color w:val="000000"/>
        </w:rPr>
        <w:t>via the Prior Approval process</w:t>
      </w:r>
      <w:r w:rsidRPr="00BD0F08">
        <w:rPr>
          <w:rFonts w:ascii="Arial" w:hAnsi="Arial" w:cs="Arial"/>
          <w:i/>
          <w:color w:val="000000"/>
        </w:rPr>
        <w:t xml:space="preserve"> </w:t>
      </w:r>
      <w:r w:rsidRPr="005D0E6C">
        <w:rPr>
          <w:rFonts w:ascii="Arial" w:hAnsi="Arial" w:cs="Arial"/>
          <w:i/>
          <w:color w:val="000000"/>
        </w:rPr>
        <w:t>which enables an immediate funding decision on the intervention requested</w:t>
      </w:r>
      <w:r w:rsidRPr="00BD0F08">
        <w:rPr>
          <w:rFonts w:ascii="Arial" w:hAnsi="Arial" w:cs="Arial"/>
          <w:i/>
          <w:color w:val="000000"/>
        </w:rPr>
        <w:t xml:space="preserve"> at the point of care.</w:t>
      </w:r>
      <w:r w:rsidR="00A24594">
        <w:rPr>
          <w:rFonts w:ascii="Arial" w:hAnsi="Arial" w:cs="Arial"/>
          <w:i/>
          <w:color w:val="000000"/>
        </w:rPr>
        <w:t xml:space="preserve"> </w:t>
      </w:r>
      <w:r w:rsidR="005D0E6C">
        <w:rPr>
          <w:rFonts w:ascii="Arial" w:hAnsi="Arial" w:cs="Arial"/>
          <w:i/>
          <w:color w:val="000000"/>
        </w:rPr>
        <w:t>The Prior Approval process will be completed by the GP or Secondary Care Clinician with reference to the Humber and NEL Commissioning statements which are shared on the CCG external website for information.</w:t>
      </w:r>
      <w:r w:rsidR="009F2DE1">
        <w:rPr>
          <w:rFonts w:ascii="Arial" w:hAnsi="Arial" w:cs="Arial"/>
          <w:i/>
          <w:color w:val="000000"/>
        </w:rPr>
        <w:t xml:space="preserve"> This will be by the use of the </w:t>
      </w:r>
      <w:proofErr w:type="gramStart"/>
      <w:r w:rsidR="009F2DE1">
        <w:rPr>
          <w:rFonts w:ascii="Arial" w:hAnsi="Arial" w:cs="Arial"/>
          <w:i/>
          <w:color w:val="000000"/>
        </w:rPr>
        <w:t>On Line</w:t>
      </w:r>
      <w:proofErr w:type="gramEnd"/>
      <w:r w:rsidR="009F2DE1">
        <w:rPr>
          <w:rFonts w:ascii="Arial" w:hAnsi="Arial" w:cs="Arial"/>
          <w:i/>
          <w:color w:val="000000"/>
        </w:rPr>
        <w:t xml:space="preserve"> value based Commissioning website operated by Humber CCG’s via </w:t>
      </w:r>
      <w:r w:rsidR="009F2DE1">
        <w:rPr>
          <w:rFonts w:ascii="Arial" w:hAnsi="Arial" w:cs="Arial"/>
          <w:sz w:val="24"/>
          <w:szCs w:val="24"/>
        </w:rPr>
        <w:t>North East Commissioning Support.</w:t>
      </w:r>
    </w:p>
    <w:p w14:paraId="320D5759" w14:textId="77777777" w:rsidR="005D0E6C" w:rsidRDefault="005D0E6C" w:rsidP="005D08EB">
      <w:pPr>
        <w:autoSpaceDE w:val="0"/>
        <w:autoSpaceDN w:val="0"/>
        <w:adjustRightInd w:val="0"/>
        <w:spacing w:after="0" w:line="240" w:lineRule="auto"/>
        <w:jc w:val="both"/>
        <w:rPr>
          <w:rFonts w:ascii="Arial" w:hAnsi="Arial" w:cs="Arial"/>
          <w:i/>
          <w:color w:val="000000"/>
        </w:rPr>
      </w:pPr>
    </w:p>
    <w:p w14:paraId="44DCD2AA" w14:textId="77777777" w:rsidR="002A326F" w:rsidRPr="00BD0F08" w:rsidRDefault="002A326F" w:rsidP="005D08EB">
      <w:pPr>
        <w:autoSpaceDE w:val="0"/>
        <w:autoSpaceDN w:val="0"/>
        <w:adjustRightInd w:val="0"/>
        <w:spacing w:after="0" w:line="240" w:lineRule="auto"/>
        <w:jc w:val="both"/>
        <w:rPr>
          <w:rFonts w:ascii="Arial" w:hAnsi="Arial" w:cs="Arial"/>
          <w:b/>
          <w:bCs/>
          <w:i/>
          <w:color w:val="000000"/>
        </w:rPr>
      </w:pPr>
      <w:r w:rsidRPr="00BD0F08">
        <w:rPr>
          <w:rFonts w:ascii="Arial" w:hAnsi="Arial" w:cs="Arial"/>
          <w:b/>
          <w:bCs/>
          <w:i/>
          <w:color w:val="000000"/>
        </w:rPr>
        <w:t xml:space="preserve">No Category 1 or Category 2 intervention must be undertaken before securing CCG IFR approval or Prior Approval – activity will be </w:t>
      </w:r>
      <w:proofErr w:type="gramStart"/>
      <w:r w:rsidRPr="00BD0F08">
        <w:rPr>
          <w:rFonts w:ascii="Arial" w:hAnsi="Arial" w:cs="Arial"/>
          <w:b/>
          <w:bCs/>
          <w:i/>
          <w:color w:val="000000"/>
        </w:rPr>
        <w:t>monitored</w:t>
      </w:r>
      <w:proofErr w:type="gramEnd"/>
      <w:r w:rsidRPr="00BD0F08">
        <w:rPr>
          <w:rFonts w:ascii="Arial" w:hAnsi="Arial" w:cs="Arial"/>
          <w:b/>
          <w:bCs/>
          <w:i/>
          <w:color w:val="000000"/>
        </w:rPr>
        <w:t xml:space="preserve"> and audits will be regularly undertaken. </w:t>
      </w:r>
    </w:p>
    <w:p w14:paraId="668A9BB9" w14:textId="77777777" w:rsidR="002A326F" w:rsidRPr="00BD0F08" w:rsidRDefault="002A326F" w:rsidP="005D08EB">
      <w:pPr>
        <w:autoSpaceDE w:val="0"/>
        <w:autoSpaceDN w:val="0"/>
        <w:adjustRightInd w:val="0"/>
        <w:spacing w:after="0" w:line="240" w:lineRule="auto"/>
        <w:jc w:val="both"/>
        <w:rPr>
          <w:rFonts w:ascii="Arial" w:hAnsi="Arial" w:cs="Arial"/>
          <w:i/>
          <w:color w:val="000000"/>
        </w:rPr>
      </w:pPr>
    </w:p>
    <w:p w14:paraId="6E84EB7C" w14:textId="77777777" w:rsidR="002A326F" w:rsidRPr="00BD0F08" w:rsidRDefault="002A326F" w:rsidP="005D08EB">
      <w:pPr>
        <w:spacing w:after="0" w:line="240" w:lineRule="auto"/>
        <w:jc w:val="both"/>
        <w:rPr>
          <w:rFonts w:ascii="Arial" w:hAnsi="Arial" w:cs="Arial"/>
          <w:i/>
          <w:sz w:val="24"/>
          <w:szCs w:val="24"/>
        </w:rPr>
      </w:pPr>
      <w:r w:rsidRPr="00BD0F08">
        <w:rPr>
          <w:rFonts w:ascii="Arial" w:hAnsi="Arial" w:cs="Arial"/>
          <w:i/>
          <w:color w:val="000000"/>
        </w:rPr>
        <w:t xml:space="preserve">Please note this document is not exhaustive of all interventions not routinely commissioned or restricted by the CCG. For any medical procedure or treatment that is not routinely commissioned where there is not a specific policy statement, a request via the IFR process must still be made. </w:t>
      </w:r>
    </w:p>
    <w:p w14:paraId="7C4AE7BC" w14:textId="77777777" w:rsidR="00B16CEA" w:rsidRPr="00BD0F08" w:rsidRDefault="00B16CEA" w:rsidP="00B16CEA">
      <w:pPr>
        <w:spacing w:after="0" w:line="240" w:lineRule="auto"/>
        <w:rPr>
          <w:rFonts w:ascii="Arial" w:hAnsi="Arial" w:cs="Arial"/>
          <w:i/>
          <w:sz w:val="24"/>
          <w:szCs w:val="24"/>
        </w:rPr>
      </w:pPr>
    </w:p>
    <w:p w14:paraId="60A90285" w14:textId="77777777" w:rsidR="00B16CEA" w:rsidRPr="00BD0F08" w:rsidRDefault="00B16CEA" w:rsidP="005D08EB">
      <w:pPr>
        <w:spacing w:after="0" w:line="240" w:lineRule="auto"/>
        <w:jc w:val="both"/>
        <w:rPr>
          <w:rFonts w:ascii="Arial" w:hAnsi="Arial" w:cs="Arial"/>
          <w:i/>
          <w:sz w:val="24"/>
          <w:szCs w:val="24"/>
        </w:rPr>
      </w:pPr>
      <w:r w:rsidRPr="00BD0F08">
        <w:rPr>
          <w:rFonts w:ascii="Arial" w:hAnsi="Arial" w:cs="Arial"/>
          <w:i/>
          <w:sz w:val="24"/>
          <w:szCs w:val="24"/>
        </w:rPr>
        <w:t>An Individual Funding Request is a request to the CCG to commission health care for an individual who falls outside the range of services and treatments that the CCG has agreed to commission as a matter of routine.</w:t>
      </w:r>
    </w:p>
    <w:p w14:paraId="4ED27F75" w14:textId="77777777" w:rsidR="00B16CEA" w:rsidRPr="00B16CEA" w:rsidRDefault="00B16CEA" w:rsidP="005D08EB">
      <w:pPr>
        <w:spacing w:after="0" w:line="240" w:lineRule="auto"/>
        <w:jc w:val="both"/>
        <w:rPr>
          <w:rFonts w:ascii="Arial" w:hAnsi="Arial" w:cs="Arial"/>
          <w:sz w:val="24"/>
          <w:szCs w:val="24"/>
        </w:rPr>
      </w:pPr>
    </w:p>
    <w:p w14:paraId="7C708EDB"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Individual Funding Requests are not the same as:</w:t>
      </w:r>
    </w:p>
    <w:p w14:paraId="05256238" w14:textId="77777777" w:rsidR="00B16CEA" w:rsidRPr="00B16CEA" w:rsidRDefault="00B16CEA" w:rsidP="00B16CEA">
      <w:pPr>
        <w:spacing w:after="0" w:line="240" w:lineRule="auto"/>
        <w:rPr>
          <w:rFonts w:ascii="Arial" w:hAnsi="Arial" w:cs="Arial"/>
          <w:sz w:val="24"/>
          <w:szCs w:val="24"/>
        </w:rPr>
      </w:pPr>
    </w:p>
    <w:p w14:paraId="0635BF29" w14:textId="77777777" w:rsidR="00B16CEA" w:rsidRPr="00B16CEA" w:rsidRDefault="00B16CEA" w:rsidP="005D08EB">
      <w:pPr>
        <w:pStyle w:val="ListParagraph"/>
        <w:numPr>
          <w:ilvl w:val="0"/>
          <w:numId w:val="6"/>
        </w:numPr>
        <w:jc w:val="both"/>
        <w:rPr>
          <w:rFonts w:ascii="Arial" w:hAnsi="Arial" w:cs="Arial"/>
          <w:sz w:val="24"/>
          <w:szCs w:val="24"/>
        </w:rPr>
      </w:pPr>
      <w:r w:rsidRPr="00B16CEA">
        <w:rPr>
          <w:rFonts w:ascii="Arial" w:hAnsi="Arial" w:cs="Arial"/>
          <w:sz w:val="24"/>
          <w:szCs w:val="24"/>
        </w:rPr>
        <w:t xml:space="preserve">Decisions that are related to care packages for patient with complex healthcare </w:t>
      </w:r>
      <w:proofErr w:type="gramStart"/>
      <w:r w:rsidRPr="00B16CEA">
        <w:rPr>
          <w:rFonts w:ascii="Arial" w:hAnsi="Arial" w:cs="Arial"/>
          <w:sz w:val="24"/>
          <w:szCs w:val="24"/>
        </w:rPr>
        <w:t>needs</w:t>
      </w:r>
      <w:proofErr w:type="gramEnd"/>
    </w:p>
    <w:p w14:paraId="56F33FF1" w14:textId="77777777" w:rsidR="00B16CEA" w:rsidRPr="00B16CEA" w:rsidRDefault="00B16CEA" w:rsidP="005D08EB">
      <w:pPr>
        <w:pStyle w:val="ListParagraph"/>
        <w:numPr>
          <w:ilvl w:val="0"/>
          <w:numId w:val="6"/>
        </w:numPr>
        <w:jc w:val="both"/>
        <w:rPr>
          <w:rFonts w:ascii="Arial" w:hAnsi="Arial" w:cs="Arial"/>
          <w:sz w:val="24"/>
          <w:szCs w:val="24"/>
        </w:rPr>
      </w:pPr>
      <w:r w:rsidRPr="005D08EB">
        <w:rPr>
          <w:rFonts w:ascii="Arial" w:hAnsi="Arial" w:cs="Arial"/>
          <w:sz w:val="24"/>
          <w:szCs w:val="24"/>
        </w:rPr>
        <w:t>Prior approvals</w:t>
      </w:r>
      <w:r w:rsidRPr="00B16CEA">
        <w:rPr>
          <w:rFonts w:ascii="Arial" w:hAnsi="Arial" w:cs="Arial"/>
          <w:sz w:val="24"/>
          <w:szCs w:val="24"/>
        </w:rPr>
        <w:t xml:space="preserve"> which are used to manage contracts with providers.  For example the CCG </w:t>
      </w:r>
      <w:r w:rsidR="00F15499">
        <w:rPr>
          <w:rFonts w:ascii="Arial" w:hAnsi="Arial" w:cs="Arial"/>
          <w:sz w:val="24"/>
          <w:szCs w:val="24"/>
        </w:rPr>
        <w:t xml:space="preserve">has a </w:t>
      </w:r>
      <w:r w:rsidRPr="00B16CEA">
        <w:rPr>
          <w:rFonts w:ascii="Arial" w:hAnsi="Arial" w:cs="Arial"/>
          <w:sz w:val="24"/>
          <w:szCs w:val="24"/>
        </w:rPr>
        <w:t xml:space="preserve">prior approval scheme </w:t>
      </w:r>
      <w:r w:rsidR="00F15499">
        <w:rPr>
          <w:rFonts w:ascii="Arial" w:hAnsi="Arial" w:cs="Arial"/>
          <w:sz w:val="24"/>
          <w:szCs w:val="24"/>
        </w:rPr>
        <w:t xml:space="preserve">as part of the commissioning statements (which accompany this policy) and its use is part of the contract </w:t>
      </w:r>
      <w:r w:rsidRPr="00B16CEA">
        <w:rPr>
          <w:rFonts w:ascii="Arial" w:hAnsi="Arial" w:cs="Arial"/>
          <w:sz w:val="24"/>
          <w:szCs w:val="24"/>
        </w:rPr>
        <w:t xml:space="preserve">with </w:t>
      </w:r>
      <w:r w:rsidR="00F15499">
        <w:rPr>
          <w:rFonts w:ascii="Arial" w:hAnsi="Arial" w:cs="Arial"/>
          <w:sz w:val="24"/>
          <w:szCs w:val="24"/>
        </w:rPr>
        <w:t>providers</w:t>
      </w:r>
      <w:r w:rsidRPr="00B16CEA">
        <w:rPr>
          <w:rFonts w:ascii="Arial" w:hAnsi="Arial" w:cs="Arial"/>
          <w:sz w:val="24"/>
          <w:szCs w:val="24"/>
        </w:rPr>
        <w:t xml:space="preserve"> that requires the</w:t>
      </w:r>
      <w:r w:rsidR="00F15499">
        <w:rPr>
          <w:rFonts w:ascii="Arial" w:hAnsi="Arial" w:cs="Arial"/>
          <w:sz w:val="24"/>
          <w:szCs w:val="24"/>
        </w:rPr>
        <w:t xml:space="preserve"> GP or other provider</w:t>
      </w:r>
      <w:r w:rsidRPr="00B16CEA">
        <w:rPr>
          <w:rFonts w:ascii="Arial" w:hAnsi="Arial" w:cs="Arial"/>
          <w:sz w:val="24"/>
          <w:szCs w:val="24"/>
        </w:rPr>
        <w:t xml:space="preserve"> to obtain approval to treat in cases where the CCG has </w:t>
      </w:r>
      <w:r w:rsidR="00F15499">
        <w:rPr>
          <w:rFonts w:ascii="Arial" w:hAnsi="Arial" w:cs="Arial"/>
          <w:sz w:val="24"/>
          <w:szCs w:val="24"/>
        </w:rPr>
        <w:t>identified a prior approval process to be completed which will give authority to proceed to treatment.</w:t>
      </w:r>
    </w:p>
    <w:p w14:paraId="4CE8D54B" w14:textId="77777777" w:rsidR="00B16CEA" w:rsidRPr="00B16CEA" w:rsidRDefault="00B16CEA" w:rsidP="00B16CEA">
      <w:pPr>
        <w:spacing w:after="0" w:line="240" w:lineRule="auto"/>
        <w:rPr>
          <w:rFonts w:ascii="Arial" w:hAnsi="Arial" w:cs="Arial"/>
          <w:sz w:val="24"/>
          <w:szCs w:val="24"/>
        </w:rPr>
      </w:pPr>
    </w:p>
    <w:p w14:paraId="1B4B88CC"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Individual Funding Requests generally arise in one of four circumstances:</w:t>
      </w:r>
    </w:p>
    <w:p w14:paraId="3BCBB8D3" w14:textId="77777777" w:rsidR="00B16CEA" w:rsidRPr="00B16CEA" w:rsidRDefault="00B16CEA" w:rsidP="00B16CEA">
      <w:pPr>
        <w:spacing w:after="0" w:line="240" w:lineRule="auto"/>
        <w:rPr>
          <w:rFonts w:ascii="Arial" w:hAnsi="Arial" w:cs="Arial"/>
          <w:sz w:val="24"/>
          <w:szCs w:val="24"/>
        </w:rPr>
      </w:pPr>
    </w:p>
    <w:p w14:paraId="117E51C5" w14:textId="77777777" w:rsidR="00B16CEA" w:rsidRPr="00B16CEA" w:rsidRDefault="00B16CEA" w:rsidP="005D08EB">
      <w:pPr>
        <w:pStyle w:val="ListParagraph"/>
        <w:numPr>
          <w:ilvl w:val="0"/>
          <w:numId w:val="6"/>
        </w:numPr>
        <w:jc w:val="both"/>
        <w:rPr>
          <w:rFonts w:ascii="Arial" w:hAnsi="Arial" w:cs="Arial"/>
          <w:sz w:val="24"/>
          <w:szCs w:val="24"/>
        </w:rPr>
      </w:pPr>
      <w:r w:rsidRPr="00B16CEA">
        <w:rPr>
          <w:rFonts w:ascii="Arial" w:hAnsi="Arial" w:cs="Arial"/>
          <w:sz w:val="24"/>
          <w:szCs w:val="24"/>
        </w:rPr>
        <w:t xml:space="preserve">The Patient has a rare </w:t>
      </w:r>
      <w:proofErr w:type="gramStart"/>
      <w:r w:rsidRPr="00B16CEA">
        <w:rPr>
          <w:rFonts w:ascii="Arial" w:hAnsi="Arial" w:cs="Arial"/>
          <w:sz w:val="24"/>
          <w:szCs w:val="24"/>
        </w:rPr>
        <w:t>condition</w:t>
      </w:r>
      <w:proofErr w:type="gramEnd"/>
      <w:r w:rsidRPr="00B16CEA">
        <w:rPr>
          <w:rFonts w:ascii="Arial" w:hAnsi="Arial" w:cs="Arial"/>
          <w:sz w:val="24"/>
          <w:szCs w:val="24"/>
        </w:rPr>
        <w:t xml:space="preserve"> and </w:t>
      </w:r>
      <w:r w:rsidR="00A1238D" w:rsidRPr="00F15499">
        <w:rPr>
          <w:rFonts w:ascii="Arial" w:hAnsi="Arial" w:cs="Arial"/>
          <w:sz w:val="24"/>
          <w:szCs w:val="24"/>
        </w:rPr>
        <w:t>a clinician</w:t>
      </w:r>
      <w:r w:rsidR="00A1238D">
        <w:rPr>
          <w:rFonts w:ascii="Arial" w:hAnsi="Arial" w:cs="Arial"/>
          <w:sz w:val="24"/>
          <w:szCs w:val="24"/>
        </w:rPr>
        <w:t xml:space="preserve"> </w:t>
      </w:r>
      <w:r w:rsidRPr="00B16CEA">
        <w:rPr>
          <w:rFonts w:ascii="Arial" w:hAnsi="Arial" w:cs="Arial"/>
          <w:sz w:val="24"/>
          <w:szCs w:val="24"/>
        </w:rPr>
        <w:t>makes the request to commission the usual way of treating the condition (i.e. referrals for the treatment are too low/unpredictable to warrant having a contract with any provider).</w:t>
      </w:r>
    </w:p>
    <w:p w14:paraId="3613A13F" w14:textId="77777777" w:rsidR="00B16CEA" w:rsidRPr="00B16CEA" w:rsidRDefault="00B16CEA" w:rsidP="005D08EB">
      <w:pPr>
        <w:pStyle w:val="ListParagraph"/>
        <w:numPr>
          <w:ilvl w:val="0"/>
          <w:numId w:val="6"/>
        </w:numPr>
        <w:jc w:val="both"/>
        <w:rPr>
          <w:rFonts w:ascii="Arial" w:hAnsi="Arial" w:cs="Arial"/>
          <w:sz w:val="24"/>
          <w:szCs w:val="24"/>
        </w:rPr>
      </w:pPr>
      <w:r w:rsidRPr="00B16CEA">
        <w:rPr>
          <w:rFonts w:ascii="Arial" w:hAnsi="Arial" w:cs="Arial"/>
          <w:sz w:val="24"/>
          <w:szCs w:val="24"/>
        </w:rPr>
        <w:t>The patient has a specific condition where the usual care pathway or treatment threshold is deemed inappropriate for that individual on clinical grounds (this may involve an elective tertiary referral outside agreed pathways).</w:t>
      </w:r>
    </w:p>
    <w:p w14:paraId="2A1DCDF2" w14:textId="77777777" w:rsidR="00B16CEA" w:rsidRPr="00B16CEA" w:rsidRDefault="00B16CEA" w:rsidP="005D08EB">
      <w:pPr>
        <w:pStyle w:val="ListParagraph"/>
        <w:numPr>
          <w:ilvl w:val="0"/>
          <w:numId w:val="6"/>
        </w:numPr>
        <w:jc w:val="both"/>
        <w:rPr>
          <w:rFonts w:ascii="Arial" w:hAnsi="Arial" w:cs="Arial"/>
          <w:sz w:val="24"/>
          <w:szCs w:val="24"/>
        </w:rPr>
      </w:pPr>
      <w:r w:rsidRPr="00B16CEA">
        <w:rPr>
          <w:rFonts w:ascii="Arial" w:hAnsi="Arial" w:cs="Arial"/>
          <w:sz w:val="24"/>
          <w:szCs w:val="24"/>
        </w:rPr>
        <w:t>The clinicians involved in the patient’s care want to take advantage of a healthcare intervention that is novel, developing or unproved, and which is not part of the CCG’s commissioned treatment plans.</w:t>
      </w:r>
    </w:p>
    <w:p w14:paraId="54729182" w14:textId="77777777" w:rsidR="00B16CEA" w:rsidRPr="00B16CEA" w:rsidRDefault="00B16CEA" w:rsidP="005D08EB">
      <w:pPr>
        <w:pStyle w:val="ListParagraph"/>
        <w:numPr>
          <w:ilvl w:val="0"/>
          <w:numId w:val="6"/>
        </w:numPr>
        <w:jc w:val="both"/>
        <w:rPr>
          <w:rFonts w:ascii="Arial" w:hAnsi="Arial" w:cs="Arial"/>
          <w:sz w:val="24"/>
          <w:szCs w:val="24"/>
        </w:rPr>
      </w:pPr>
      <w:r w:rsidRPr="00B16CEA">
        <w:rPr>
          <w:rFonts w:ascii="Arial" w:hAnsi="Arial" w:cs="Arial"/>
          <w:sz w:val="24"/>
          <w:szCs w:val="24"/>
        </w:rPr>
        <w:t>The clinician would like to make available to a patient an intervention which is not medically necessary but is aesthetically desirable and the distinction between clinical and cosmetic need is not clear.</w:t>
      </w:r>
    </w:p>
    <w:p w14:paraId="4A4504D6" w14:textId="77777777" w:rsidR="00B16CEA" w:rsidRPr="00B16CEA" w:rsidRDefault="00B16CEA" w:rsidP="00B16CEA">
      <w:pPr>
        <w:spacing w:after="0" w:line="240" w:lineRule="auto"/>
        <w:rPr>
          <w:rFonts w:ascii="Arial" w:hAnsi="Arial" w:cs="Arial"/>
          <w:sz w:val="24"/>
          <w:szCs w:val="24"/>
        </w:rPr>
      </w:pPr>
    </w:p>
    <w:p w14:paraId="54D77310"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Occasionally some healthcare providers and clinicians might try to establish early access to new treatments (service developments) via an Individual Funding Request.  However, the NHS Contract requires hospital providers to seek commissioning of new treatments through submission of a business case to their commissioners.</w:t>
      </w:r>
    </w:p>
    <w:p w14:paraId="6866072D" w14:textId="77777777" w:rsidR="00B16CEA" w:rsidRPr="00B16CEA" w:rsidRDefault="00B16CEA" w:rsidP="005D08EB">
      <w:pPr>
        <w:spacing w:after="0" w:line="240" w:lineRule="auto"/>
        <w:jc w:val="both"/>
        <w:rPr>
          <w:rFonts w:ascii="Arial" w:hAnsi="Arial" w:cs="Arial"/>
          <w:sz w:val="24"/>
          <w:szCs w:val="24"/>
        </w:rPr>
      </w:pPr>
    </w:p>
    <w:p w14:paraId="2D2E2570"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Similarly, the Individual Funding Request Panel must not be put in a position where it would be asked to make policy decisions for the CCG.  Policy questions should always be referred for consideration to the Governing Body or another appropriate policy-making committee before the Individual Funding Request is considered.</w:t>
      </w:r>
    </w:p>
    <w:p w14:paraId="5E5EF63A" w14:textId="77777777" w:rsidR="00B16CEA" w:rsidRPr="00B16CEA" w:rsidRDefault="00B16CEA" w:rsidP="00B16CEA">
      <w:pPr>
        <w:spacing w:after="0" w:line="240" w:lineRule="auto"/>
        <w:rPr>
          <w:rFonts w:ascii="Arial" w:hAnsi="Arial" w:cs="Arial"/>
          <w:sz w:val="24"/>
          <w:szCs w:val="24"/>
        </w:rPr>
      </w:pPr>
    </w:p>
    <w:p w14:paraId="7C190647" w14:textId="77777777" w:rsid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 xml:space="preserve">This Policy in general relates to request for elective treatments and procedures.  A separate contractual obligation applies to providers in cases of emergency lifesaving treatment.  In such cases providers are required to notify the CCG retrospectively of any decision to treat outside the Individual Funding Request Policy.  A process exists for urgent </w:t>
      </w:r>
      <w:r w:rsidR="009F2DE1">
        <w:rPr>
          <w:rFonts w:ascii="Arial" w:hAnsi="Arial" w:cs="Arial"/>
          <w:sz w:val="24"/>
          <w:szCs w:val="24"/>
        </w:rPr>
        <w:t>(</w:t>
      </w:r>
      <w:r w:rsidRPr="00B16CEA">
        <w:rPr>
          <w:rFonts w:ascii="Arial" w:hAnsi="Arial" w:cs="Arial"/>
          <w:sz w:val="24"/>
          <w:szCs w:val="24"/>
        </w:rPr>
        <w:t>but not emergency) Individual Funding Requests where a decision is required outside of the scheduled Panel.</w:t>
      </w:r>
    </w:p>
    <w:p w14:paraId="4443FE87" w14:textId="7F886585" w:rsidR="00941D8D" w:rsidRDefault="00941D8D">
      <w:pPr>
        <w:rPr>
          <w:rFonts w:ascii="Arial" w:hAnsi="Arial" w:cs="Arial"/>
          <w:sz w:val="24"/>
          <w:szCs w:val="24"/>
        </w:rPr>
      </w:pPr>
      <w:r>
        <w:rPr>
          <w:rFonts w:ascii="Arial" w:hAnsi="Arial" w:cs="Arial"/>
          <w:sz w:val="24"/>
          <w:szCs w:val="24"/>
        </w:rPr>
        <w:br w:type="page"/>
      </w:r>
    </w:p>
    <w:p w14:paraId="5800961B" w14:textId="77777777" w:rsidR="007D773B" w:rsidRPr="007D773B" w:rsidRDefault="007D773B" w:rsidP="007D773B">
      <w:pPr>
        <w:spacing w:after="0" w:line="240" w:lineRule="auto"/>
        <w:rPr>
          <w:rFonts w:ascii="Arial" w:hAnsi="Arial" w:cs="Arial"/>
          <w:b/>
          <w:sz w:val="24"/>
          <w:szCs w:val="24"/>
        </w:rPr>
      </w:pPr>
      <w:r w:rsidRPr="007D773B">
        <w:rPr>
          <w:rFonts w:ascii="Arial" w:hAnsi="Arial" w:cs="Arial"/>
          <w:b/>
          <w:sz w:val="24"/>
          <w:szCs w:val="24"/>
        </w:rPr>
        <w:lastRenderedPageBreak/>
        <w:t>6. Definition of Exceptionality</w:t>
      </w:r>
    </w:p>
    <w:p w14:paraId="298B5F61" w14:textId="77777777" w:rsidR="007D773B" w:rsidRPr="007D773B" w:rsidRDefault="007D773B" w:rsidP="007D773B">
      <w:pPr>
        <w:spacing w:after="0" w:line="240" w:lineRule="auto"/>
        <w:rPr>
          <w:rFonts w:ascii="Arial" w:hAnsi="Arial" w:cs="Arial"/>
          <w:sz w:val="24"/>
          <w:szCs w:val="24"/>
        </w:rPr>
      </w:pPr>
    </w:p>
    <w:p w14:paraId="62D6D059" w14:textId="77777777" w:rsidR="00541BD6" w:rsidRPr="00F15499" w:rsidRDefault="00541BD6" w:rsidP="005D08EB">
      <w:pPr>
        <w:spacing w:after="0" w:line="240" w:lineRule="auto"/>
        <w:jc w:val="both"/>
        <w:rPr>
          <w:rFonts w:ascii="Arial" w:hAnsi="Arial" w:cs="Arial"/>
          <w:sz w:val="24"/>
          <w:szCs w:val="24"/>
        </w:rPr>
      </w:pPr>
      <w:r w:rsidRPr="00F15499">
        <w:rPr>
          <w:rFonts w:ascii="Arial" w:hAnsi="Arial" w:cs="Arial"/>
          <w:sz w:val="24"/>
          <w:szCs w:val="24"/>
        </w:rPr>
        <w:t xml:space="preserve">NHSE (Commissioning Policy: Individual Funding Requests 2017) describe ‘Exceptional’ in IFR terms to mean a person to whom the general rule should not apply. In this context the ‘general rule’ might be a policy that describes those patients who can access the </w:t>
      </w:r>
      <w:proofErr w:type="gramStart"/>
      <w:r w:rsidRPr="00F15499">
        <w:rPr>
          <w:rFonts w:ascii="Arial" w:hAnsi="Arial" w:cs="Arial"/>
          <w:sz w:val="24"/>
          <w:szCs w:val="24"/>
        </w:rPr>
        <w:t>intervention</w:t>
      </w:r>
      <w:proofErr w:type="gramEnd"/>
      <w:r w:rsidRPr="00F15499">
        <w:rPr>
          <w:rFonts w:ascii="Arial" w:hAnsi="Arial" w:cs="Arial"/>
          <w:sz w:val="24"/>
          <w:szCs w:val="24"/>
        </w:rPr>
        <w:t xml:space="preserve"> or it may be that where there is no policy governing the treatment, in the interests of fairness to all patients, the position is that it will not be commissioned ahead of policy development.</w:t>
      </w:r>
      <w:r w:rsidR="00155B5D" w:rsidRPr="00F15499">
        <w:rPr>
          <w:rFonts w:ascii="Arial" w:hAnsi="Arial" w:cs="Arial"/>
          <w:sz w:val="24"/>
          <w:szCs w:val="24"/>
        </w:rPr>
        <w:t xml:space="preserve"> </w:t>
      </w:r>
      <w:r w:rsidRPr="00F15499">
        <w:rPr>
          <w:rFonts w:ascii="Arial" w:hAnsi="Arial" w:cs="Arial"/>
          <w:sz w:val="24"/>
          <w:szCs w:val="24"/>
        </w:rPr>
        <w:t>This implies that there is likely to be something about their clinical situation which was not considered when formulating the general rule. Very few patients have clinical circumstances which are genuinely exceptional. To justify funding treatment for a patient which is not available to other patients</w:t>
      </w:r>
      <w:r w:rsidR="00155B5D" w:rsidRPr="00F15499">
        <w:rPr>
          <w:rFonts w:ascii="Arial" w:hAnsi="Arial" w:cs="Arial"/>
          <w:sz w:val="24"/>
          <w:szCs w:val="24"/>
        </w:rPr>
        <w:t>,</w:t>
      </w:r>
      <w:r w:rsidRPr="00F15499">
        <w:rPr>
          <w:rFonts w:ascii="Arial" w:hAnsi="Arial" w:cs="Arial"/>
          <w:sz w:val="24"/>
          <w:szCs w:val="24"/>
        </w:rPr>
        <w:t xml:space="preserve"> and is not part </w:t>
      </w:r>
      <w:r w:rsidR="00155B5D" w:rsidRPr="00F15499">
        <w:rPr>
          <w:rFonts w:ascii="Arial" w:hAnsi="Arial" w:cs="Arial"/>
          <w:sz w:val="24"/>
          <w:szCs w:val="24"/>
        </w:rPr>
        <w:t xml:space="preserve">of the established care pathway, </w:t>
      </w:r>
      <w:r w:rsidRPr="00F15499">
        <w:rPr>
          <w:rFonts w:ascii="Arial" w:hAnsi="Arial" w:cs="Arial"/>
          <w:sz w:val="24"/>
          <w:szCs w:val="24"/>
        </w:rPr>
        <w:t>the IFR Panel needs to be satisfied that the clinician has demonstrated that this patient’s individual clinical circumstances are clearly different to those of other patients, and that because of this difference, the general policies should not be applied. Simply put, the consideration is whether it is fair to fund this patient’s treatment when the treatment is not available to others.</w:t>
      </w:r>
    </w:p>
    <w:p w14:paraId="6603C471" w14:textId="77777777" w:rsidR="007D773B" w:rsidRPr="007D773B" w:rsidRDefault="007D773B" w:rsidP="007D773B">
      <w:pPr>
        <w:spacing w:after="0" w:line="240" w:lineRule="auto"/>
        <w:rPr>
          <w:rFonts w:ascii="Arial" w:hAnsi="Arial" w:cs="Arial"/>
          <w:sz w:val="24"/>
          <w:szCs w:val="24"/>
        </w:rPr>
      </w:pPr>
    </w:p>
    <w:p w14:paraId="39940249" w14:textId="77777777" w:rsidR="007D773B" w:rsidRPr="007D773B" w:rsidRDefault="007D773B" w:rsidP="005D08EB">
      <w:pPr>
        <w:spacing w:after="0" w:line="240" w:lineRule="auto"/>
        <w:jc w:val="both"/>
        <w:rPr>
          <w:rFonts w:ascii="Arial" w:hAnsi="Arial" w:cs="Arial"/>
          <w:sz w:val="24"/>
          <w:szCs w:val="24"/>
        </w:rPr>
      </w:pPr>
      <w:r w:rsidRPr="007D773B">
        <w:rPr>
          <w:rFonts w:ascii="Arial" w:hAnsi="Arial" w:cs="Arial"/>
          <w:sz w:val="24"/>
          <w:szCs w:val="24"/>
        </w:rPr>
        <w:t>In making a case for special consideration in relation to a restricted treatment on grounds of exceptionality, it needs to be demonstrated that:</w:t>
      </w:r>
      <w:r w:rsidRPr="007D773B">
        <w:rPr>
          <w:rFonts w:ascii="Arial" w:hAnsi="Arial" w:cs="Arial"/>
          <w:sz w:val="24"/>
          <w:szCs w:val="24"/>
        </w:rPr>
        <w:tab/>
      </w:r>
    </w:p>
    <w:p w14:paraId="7E287F2F" w14:textId="77777777" w:rsidR="007D773B" w:rsidRPr="007D773B" w:rsidRDefault="007D773B" w:rsidP="005D08EB">
      <w:pPr>
        <w:spacing w:after="0" w:line="240" w:lineRule="auto"/>
        <w:jc w:val="both"/>
        <w:rPr>
          <w:rFonts w:ascii="Arial" w:hAnsi="Arial" w:cs="Arial"/>
          <w:sz w:val="24"/>
          <w:szCs w:val="24"/>
        </w:rPr>
      </w:pPr>
    </w:p>
    <w:p w14:paraId="72A43804" w14:textId="77777777" w:rsidR="007D773B" w:rsidRPr="007D773B" w:rsidRDefault="007D773B" w:rsidP="005D08EB">
      <w:pPr>
        <w:pStyle w:val="ListParagraph"/>
        <w:numPr>
          <w:ilvl w:val="0"/>
          <w:numId w:val="6"/>
        </w:numPr>
        <w:jc w:val="both"/>
        <w:rPr>
          <w:rFonts w:ascii="Arial" w:hAnsi="Arial" w:cs="Arial"/>
          <w:sz w:val="24"/>
          <w:szCs w:val="24"/>
        </w:rPr>
      </w:pPr>
      <w:r w:rsidRPr="007D773B">
        <w:rPr>
          <w:rFonts w:ascii="Arial" w:hAnsi="Arial" w:cs="Arial"/>
          <w:sz w:val="24"/>
          <w:szCs w:val="24"/>
        </w:rPr>
        <w:t>The patient is significantly different from the general population of patients with the condition in question.</w:t>
      </w:r>
    </w:p>
    <w:p w14:paraId="2105DABB" w14:textId="77777777" w:rsidR="007D773B" w:rsidRPr="007D773B" w:rsidRDefault="007D773B" w:rsidP="005D08EB">
      <w:pPr>
        <w:spacing w:after="0" w:line="240" w:lineRule="auto"/>
        <w:ind w:firstLine="720"/>
        <w:rPr>
          <w:rFonts w:ascii="Arial" w:hAnsi="Arial" w:cs="Arial"/>
          <w:sz w:val="24"/>
          <w:szCs w:val="24"/>
        </w:rPr>
      </w:pPr>
      <w:r w:rsidRPr="007D773B">
        <w:rPr>
          <w:rFonts w:ascii="Arial" w:hAnsi="Arial" w:cs="Arial"/>
          <w:sz w:val="24"/>
          <w:szCs w:val="24"/>
        </w:rPr>
        <w:t>and</w:t>
      </w:r>
    </w:p>
    <w:p w14:paraId="78A4F359" w14:textId="77777777" w:rsidR="007D773B" w:rsidRDefault="007D773B" w:rsidP="005D08EB">
      <w:pPr>
        <w:pStyle w:val="ListParagraph"/>
        <w:numPr>
          <w:ilvl w:val="0"/>
          <w:numId w:val="6"/>
        </w:numPr>
        <w:jc w:val="both"/>
        <w:rPr>
          <w:rFonts w:ascii="Arial" w:hAnsi="Arial" w:cs="Arial"/>
          <w:sz w:val="24"/>
          <w:szCs w:val="24"/>
        </w:rPr>
      </w:pPr>
      <w:r w:rsidRPr="007D773B">
        <w:rPr>
          <w:rFonts w:ascii="Arial" w:hAnsi="Arial" w:cs="Arial"/>
          <w:sz w:val="24"/>
          <w:szCs w:val="24"/>
        </w:rPr>
        <w:t>The patient is likely to gain significantly more benefit from the intervention than might normally be expected for patients with that condition.</w:t>
      </w:r>
    </w:p>
    <w:p w14:paraId="6B189F1B" w14:textId="77777777" w:rsidR="0035063F" w:rsidRDefault="0035063F" w:rsidP="007D773B">
      <w:pPr>
        <w:spacing w:after="0" w:line="240" w:lineRule="auto"/>
        <w:rPr>
          <w:rFonts w:ascii="Arial" w:hAnsi="Arial" w:cs="Arial"/>
          <w:sz w:val="24"/>
          <w:szCs w:val="24"/>
        </w:rPr>
      </w:pPr>
    </w:p>
    <w:p w14:paraId="2A9CBFBA" w14:textId="77777777" w:rsidR="007D773B" w:rsidRPr="007D773B" w:rsidRDefault="007D773B" w:rsidP="005D08EB">
      <w:pPr>
        <w:spacing w:after="0" w:line="240" w:lineRule="auto"/>
        <w:jc w:val="both"/>
        <w:rPr>
          <w:rFonts w:ascii="Arial" w:hAnsi="Arial" w:cs="Arial"/>
          <w:sz w:val="24"/>
          <w:szCs w:val="24"/>
        </w:rPr>
      </w:pPr>
      <w:r w:rsidRPr="007D773B">
        <w:rPr>
          <w:rFonts w:ascii="Arial" w:hAnsi="Arial" w:cs="Arial"/>
          <w:sz w:val="24"/>
          <w:szCs w:val="24"/>
        </w:rPr>
        <w:t xml:space="preserve">Only evidence of Clinical need will be considered.  Factors such as gender, ethnicity, age, </w:t>
      </w:r>
      <w:proofErr w:type="gramStart"/>
      <w:r w:rsidRPr="007D773B">
        <w:rPr>
          <w:rFonts w:ascii="Arial" w:hAnsi="Arial" w:cs="Arial"/>
          <w:sz w:val="24"/>
          <w:szCs w:val="24"/>
        </w:rPr>
        <w:t>lifestyle</w:t>
      </w:r>
      <w:proofErr w:type="gramEnd"/>
      <w:r w:rsidRPr="007D773B">
        <w:rPr>
          <w:rFonts w:ascii="Arial" w:hAnsi="Arial" w:cs="Arial"/>
          <w:sz w:val="24"/>
          <w:szCs w:val="24"/>
        </w:rPr>
        <w:t xml:space="preserve"> or other social factors such as employment or parenthood cannot lawfully be taken into account.</w:t>
      </w:r>
    </w:p>
    <w:p w14:paraId="5A741238" w14:textId="77777777" w:rsidR="007D773B" w:rsidRPr="007D773B" w:rsidRDefault="007D773B" w:rsidP="005D08EB">
      <w:pPr>
        <w:spacing w:after="0" w:line="240" w:lineRule="auto"/>
        <w:jc w:val="both"/>
        <w:rPr>
          <w:rFonts w:ascii="Arial" w:hAnsi="Arial" w:cs="Arial"/>
          <w:sz w:val="24"/>
          <w:szCs w:val="24"/>
        </w:rPr>
      </w:pPr>
    </w:p>
    <w:p w14:paraId="31EBCB68" w14:textId="77777777" w:rsidR="007D773B" w:rsidRPr="007D773B" w:rsidRDefault="007D773B" w:rsidP="005D08EB">
      <w:pPr>
        <w:spacing w:after="0" w:line="240" w:lineRule="auto"/>
        <w:jc w:val="both"/>
        <w:rPr>
          <w:rFonts w:ascii="Arial" w:hAnsi="Arial" w:cs="Arial"/>
          <w:sz w:val="24"/>
          <w:szCs w:val="24"/>
        </w:rPr>
      </w:pPr>
      <w:r w:rsidRPr="007D773B">
        <w:rPr>
          <w:rFonts w:ascii="Arial" w:hAnsi="Arial" w:cs="Arial"/>
          <w:sz w:val="24"/>
          <w:szCs w:val="24"/>
        </w:rPr>
        <w:t xml:space="preserve">The CCG will only allow clinical considerations to decide </w:t>
      </w:r>
      <w:proofErr w:type="gramStart"/>
      <w:r w:rsidRPr="007D773B">
        <w:rPr>
          <w:rFonts w:ascii="Arial" w:hAnsi="Arial" w:cs="Arial"/>
          <w:sz w:val="24"/>
          <w:szCs w:val="24"/>
        </w:rPr>
        <w:t>whether or not</w:t>
      </w:r>
      <w:proofErr w:type="gramEnd"/>
      <w:r w:rsidRPr="007D773B">
        <w:rPr>
          <w:rFonts w:ascii="Arial" w:hAnsi="Arial" w:cs="Arial"/>
          <w:sz w:val="24"/>
          <w:szCs w:val="24"/>
        </w:rPr>
        <w:t xml:space="preserve"> a patient is different to other patients.  If there are clinical features that make the patient unique or unusual compared to others in the same group, the CCG would then consider whether there are sufficient grounds for believing that this unusual clinical factor means the patient would gain significantly more benefit than would be expected for the group.</w:t>
      </w:r>
    </w:p>
    <w:p w14:paraId="3DE71F2F" w14:textId="77777777" w:rsidR="007D773B" w:rsidRPr="007D773B" w:rsidRDefault="007D773B" w:rsidP="005D08EB">
      <w:pPr>
        <w:spacing w:after="0" w:line="240" w:lineRule="auto"/>
        <w:jc w:val="both"/>
        <w:rPr>
          <w:rFonts w:ascii="Arial" w:hAnsi="Arial" w:cs="Arial"/>
          <w:sz w:val="24"/>
          <w:szCs w:val="24"/>
        </w:rPr>
      </w:pPr>
    </w:p>
    <w:p w14:paraId="66A43613" w14:textId="77777777" w:rsidR="007D773B" w:rsidRPr="00B16CEA" w:rsidRDefault="007D773B" w:rsidP="005D08EB">
      <w:pPr>
        <w:spacing w:after="0" w:line="240" w:lineRule="auto"/>
        <w:jc w:val="both"/>
        <w:rPr>
          <w:rFonts w:ascii="Arial" w:hAnsi="Arial" w:cs="Arial"/>
          <w:sz w:val="24"/>
          <w:szCs w:val="24"/>
        </w:rPr>
      </w:pPr>
      <w:r w:rsidRPr="007D773B">
        <w:rPr>
          <w:rFonts w:ascii="Arial" w:hAnsi="Arial" w:cs="Arial"/>
          <w:sz w:val="24"/>
          <w:szCs w:val="24"/>
        </w:rPr>
        <w:t xml:space="preserve">When considering Individual Funding Requests, the CCG will use the same ethical framework and guidelines for decision making that underpin its general policies for health care interventions.  Where social, demographic or employment circumstances have not been considered relevant to </w:t>
      </w:r>
      <w:proofErr w:type="gramStart"/>
      <w:r w:rsidRPr="007D773B">
        <w:rPr>
          <w:rFonts w:ascii="Arial" w:hAnsi="Arial" w:cs="Arial"/>
          <w:sz w:val="24"/>
          <w:szCs w:val="24"/>
        </w:rPr>
        <w:t>population based</w:t>
      </w:r>
      <w:proofErr w:type="gramEnd"/>
      <w:r w:rsidRPr="007D773B">
        <w:rPr>
          <w:rFonts w:ascii="Arial" w:hAnsi="Arial" w:cs="Arial"/>
          <w:sz w:val="24"/>
          <w:szCs w:val="24"/>
        </w:rPr>
        <w:t xml:space="preserve"> decision, these factors will equally not be considered for Individual Funding Requests.</w:t>
      </w:r>
    </w:p>
    <w:p w14:paraId="44BB553D" w14:textId="77777777" w:rsidR="00B16CEA" w:rsidRPr="00B16CEA" w:rsidRDefault="00B16CEA" w:rsidP="00B16CEA">
      <w:pPr>
        <w:spacing w:after="0" w:line="240" w:lineRule="auto"/>
        <w:rPr>
          <w:rFonts w:ascii="Arial" w:hAnsi="Arial" w:cs="Arial"/>
          <w:sz w:val="24"/>
          <w:szCs w:val="24"/>
        </w:rPr>
      </w:pPr>
    </w:p>
    <w:p w14:paraId="61C1D2EF" w14:textId="77777777" w:rsidR="00B16CEA" w:rsidRPr="00B16CEA" w:rsidRDefault="007D773B" w:rsidP="00B16CEA">
      <w:pPr>
        <w:spacing w:after="0" w:line="240" w:lineRule="auto"/>
        <w:rPr>
          <w:rFonts w:ascii="Arial" w:hAnsi="Arial" w:cs="Arial"/>
          <w:b/>
          <w:sz w:val="24"/>
          <w:szCs w:val="24"/>
        </w:rPr>
      </w:pPr>
      <w:r>
        <w:rPr>
          <w:rFonts w:ascii="Arial" w:hAnsi="Arial" w:cs="Arial"/>
          <w:b/>
          <w:sz w:val="24"/>
          <w:szCs w:val="24"/>
        </w:rPr>
        <w:t>7</w:t>
      </w:r>
      <w:r w:rsidR="00DE4310">
        <w:rPr>
          <w:rFonts w:ascii="Arial" w:hAnsi="Arial" w:cs="Arial"/>
          <w:b/>
          <w:sz w:val="24"/>
          <w:szCs w:val="24"/>
        </w:rPr>
        <w:t xml:space="preserve">. </w:t>
      </w:r>
      <w:r w:rsidR="00B16CEA" w:rsidRPr="00B16CEA">
        <w:rPr>
          <w:rFonts w:ascii="Arial" w:hAnsi="Arial" w:cs="Arial"/>
          <w:b/>
          <w:sz w:val="24"/>
          <w:szCs w:val="24"/>
        </w:rPr>
        <w:t>Requests for cross-border treatment and treatment outside the European Economic Area (EEA)</w:t>
      </w:r>
    </w:p>
    <w:p w14:paraId="63C6097E" w14:textId="77777777" w:rsidR="005D08EB" w:rsidRDefault="005D08EB" w:rsidP="00B16CEA">
      <w:pPr>
        <w:spacing w:after="0" w:line="240" w:lineRule="auto"/>
        <w:rPr>
          <w:rFonts w:ascii="Arial" w:hAnsi="Arial" w:cs="Arial"/>
          <w:sz w:val="24"/>
          <w:szCs w:val="24"/>
        </w:rPr>
      </w:pPr>
    </w:p>
    <w:p w14:paraId="3F670B7A"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 xml:space="preserve">Cross border health care requests i.e. </w:t>
      </w:r>
      <w:proofErr w:type="gramStart"/>
      <w:r w:rsidRPr="00B16CEA">
        <w:rPr>
          <w:rFonts w:ascii="Arial" w:hAnsi="Arial" w:cs="Arial"/>
          <w:sz w:val="24"/>
          <w:szCs w:val="24"/>
        </w:rPr>
        <w:t>requests</w:t>
      </w:r>
      <w:proofErr w:type="gramEnd"/>
      <w:r w:rsidRPr="00B16CEA">
        <w:rPr>
          <w:rFonts w:ascii="Arial" w:hAnsi="Arial" w:cs="Arial"/>
          <w:sz w:val="24"/>
          <w:szCs w:val="24"/>
        </w:rPr>
        <w:t xml:space="preserve"> for treatment outside of England but within the European Economic Area (EEA) should be made directly to NHS England via </w:t>
      </w:r>
      <w:hyperlink r:id="rId11" w:history="1">
        <w:r w:rsidRPr="00B16CEA">
          <w:rPr>
            <w:rFonts w:ascii="Arial" w:hAnsi="Arial" w:cs="Arial"/>
            <w:color w:val="0000FF" w:themeColor="hyperlink"/>
            <w:sz w:val="24"/>
            <w:szCs w:val="24"/>
            <w:u w:val="single"/>
          </w:rPr>
          <w:t>nhscb.europeanhealthcare@nhs.net</w:t>
        </w:r>
      </w:hyperlink>
    </w:p>
    <w:p w14:paraId="6F3025F4" w14:textId="77777777" w:rsidR="005D08EB" w:rsidRDefault="005D08EB" w:rsidP="00B16CEA">
      <w:pPr>
        <w:spacing w:after="0" w:line="240" w:lineRule="auto"/>
        <w:rPr>
          <w:rFonts w:ascii="Arial" w:hAnsi="Arial" w:cs="Arial"/>
          <w:sz w:val="24"/>
          <w:szCs w:val="24"/>
        </w:rPr>
      </w:pPr>
    </w:p>
    <w:p w14:paraId="252CEB4B" w14:textId="77777777" w:rsidR="00B16CEA" w:rsidRPr="00B16CEA" w:rsidRDefault="00B16CEA" w:rsidP="00B16CEA">
      <w:pPr>
        <w:spacing w:after="0" w:line="240" w:lineRule="auto"/>
        <w:rPr>
          <w:rFonts w:ascii="Arial" w:hAnsi="Arial" w:cs="Arial"/>
          <w:sz w:val="24"/>
          <w:szCs w:val="24"/>
        </w:rPr>
      </w:pPr>
      <w:r w:rsidRPr="00B16CEA">
        <w:rPr>
          <w:rFonts w:ascii="Arial" w:hAnsi="Arial" w:cs="Arial"/>
          <w:sz w:val="24"/>
          <w:szCs w:val="24"/>
        </w:rPr>
        <w:t>Guidance available at:</w:t>
      </w:r>
    </w:p>
    <w:p w14:paraId="474B5438" w14:textId="77777777" w:rsidR="00B16CEA" w:rsidRPr="00B16CEA" w:rsidRDefault="005245E5" w:rsidP="00B16CEA">
      <w:pPr>
        <w:spacing w:after="0" w:line="240" w:lineRule="auto"/>
        <w:rPr>
          <w:rFonts w:ascii="Arial" w:hAnsi="Arial" w:cs="Arial"/>
          <w:sz w:val="24"/>
          <w:szCs w:val="24"/>
          <w:u w:val="single"/>
        </w:rPr>
      </w:pPr>
      <w:hyperlink r:id="rId12" w:history="1">
        <w:r w:rsidR="00B16CEA" w:rsidRPr="00B16CEA">
          <w:rPr>
            <w:rFonts w:ascii="Arial" w:hAnsi="Arial" w:cs="Arial"/>
            <w:color w:val="0000FF" w:themeColor="hyperlink"/>
            <w:sz w:val="24"/>
            <w:szCs w:val="24"/>
            <w:u w:val="single"/>
          </w:rPr>
          <w:t>http://www.nhs.uk/nhsengland/healthcareabroad/plannedtreatment/pages/introduction/aspx</w:t>
        </w:r>
      </w:hyperlink>
    </w:p>
    <w:p w14:paraId="2FEAB61F" w14:textId="77777777" w:rsidR="00B16CEA" w:rsidRPr="00B16CEA" w:rsidRDefault="00B16CEA" w:rsidP="00B16CEA">
      <w:pPr>
        <w:spacing w:after="0" w:line="240" w:lineRule="auto"/>
        <w:rPr>
          <w:rFonts w:ascii="Arial" w:hAnsi="Arial" w:cs="Arial"/>
          <w:sz w:val="24"/>
          <w:szCs w:val="24"/>
          <w:u w:val="single"/>
        </w:rPr>
      </w:pPr>
    </w:p>
    <w:p w14:paraId="5A598B91"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 xml:space="preserve">Requests for health care intervention outside of the EEA should be </w:t>
      </w:r>
      <w:r w:rsidRPr="0023560E">
        <w:rPr>
          <w:rFonts w:ascii="Arial" w:hAnsi="Arial" w:cs="Arial"/>
          <w:sz w:val="24"/>
          <w:szCs w:val="24"/>
        </w:rPr>
        <w:t xml:space="preserve">made </w:t>
      </w:r>
      <w:r w:rsidR="0023560E">
        <w:rPr>
          <w:rFonts w:ascii="Arial" w:hAnsi="Arial" w:cs="Arial"/>
          <w:sz w:val="24"/>
          <w:szCs w:val="24"/>
        </w:rPr>
        <w:t>to NHSE Yorkshire &amp; Humber</w:t>
      </w:r>
      <w:r w:rsidRPr="0023560E">
        <w:rPr>
          <w:rFonts w:ascii="Arial" w:hAnsi="Arial" w:cs="Arial"/>
          <w:sz w:val="24"/>
          <w:szCs w:val="24"/>
        </w:rPr>
        <w:t xml:space="preserve"> Team,</w:t>
      </w:r>
      <w:r w:rsidRPr="00B16CEA">
        <w:rPr>
          <w:rFonts w:ascii="Arial" w:hAnsi="Arial" w:cs="Arial"/>
          <w:sz w:val="24"/>
          <w:szCs w:val="24"/>
        </w:rPr>
        <w:t xml:space="preserve"> providing the requested intervention is routinely commissioned locally.</w:t>
      </w:r>
    </w:p>
    <w:p w14:paraId="384C1E61" w14:textId="77777777" w:rsidR="00B16CEA" w:rsidRPr="00B16CEA" w:rsidRDefault="00B16CEA" w:rsidP="005D08EB">
      <w:pPr>
        <w:spacing w:after="0" w:line="240" w:lineRule="auto"/>
        <w:jc w:val="both"/>
        <w:rPr>
          <w:rFonts w:ascii="Arial" w:hAnsi="Arial" w:cs="Arial"/>
          <w:sz w:val="24"/>
          <w:szCs w:val="24"/>
        </w:rPr>
      </w:pPr>
    </w:p>
    <w:p w14:paraId="5B364DDF" w14:textId="77777777" w:rsidR="00D96A58" w:rsidRDefault="00B16CEA" w:rsidP="005D08EB">
      <w:pPr>
        <w:spacing w:after="0" w:line="240" w:lineRule="auto"/>
        <w:jc w:val="both"/>
        <w:rPr>
          <w:rFonts w:ascii="Arial" w:hAnsi="Arial" w:cs="Arial"/>
          <w:sz w:val="24"/>
          <w:szCs w:val="24"/>
        </w:rPr>
      </w:pPr>
      <w:r w:rsidRPr="00B16CEA">
        <w:rPr>
          <w:rFonts w:ascii="Arial" w:hAnsi="Arial" w:cs="Arial"/>
          <w:sz w:val="24"/>
          <w:szCs w:val="24"/>
        </w:rPr>
        <w:lastRenderedPageBreak/>
        <w:t>For interventions which are not routinely commissioned locally, the request should first be considered through the CCG IFR process. If CCG approval is granted, the case should then be passed to Specialised Services within the NHS England North Yorkshire and Humber Local Area Team for further consideration.</w:t>
      </w:r>
    </w:p>
    <w:p w14:paraId="05E455F9" w14:textId="77777777" w:rsidR="00E52952" w:rsidRDefault="00E52952" w:rsidP="00B16CEA">
      <w:pPr>
        <w:spacing w:after="0" w:line="240" w:lineRule="auto"/>
        <w:rPr>
          <w:rFonts w:ascii="Arial" w:hAnsi="Arial" w:cs="Arial"/>
          <w:b/>
          <w:sz w:val="24"/>
          <w:szCs w:val="24"/>
        </w:rPr>
      </w:pPr>
    </w:p>
    <w:p w14:paraId="23C2DBA5" w14:textId="77777777" w:rsidR="00B16CEA" w:rsidRPr="00B16CEA" w:rsidRDefault="00542FC3" w:rsidP="00B16CEA">
      <w:pPr>
        <w:spacing w:after="0" w:line="240" w:lineRule="auto"/>
        <w:rPr>
          <w:rFonts w:ascii="Arial" w:hAnsi="Arial" w:cs="Arial"/>
          <w:b/>
          <w:sz w:val="24"/>
          <w:szCs w:val="24"/>
        </w:rPr>
      </w:pPr>
      <w:r>
        <w:rPr>
          <w:rFonts w:ascii="Arial" w:hAnsi="Arial" w:cs="Arial"/>
          <w:b/>
          <w:sz w:val="24"/>
          <w:szCs w:val="24"/>
        </w:rPr>
        <w:t>8</w:t>
      </w:r>
      <w:r w:rsidR="00B16CEA" w:rsidRPr="00B16CEA">
        <w:rPr>
          <w:rFonts w:ascii="Arial" w:hAnsi="Arial" w:cs="Arial"/>
          <w:b/>
          <w:sz w:val="24"/>
          <w:szCs w:val="24"/>
        </w:rPr>
        <w:tab/>
        <w:t>ROLES / RESPONSIBILITIES / DUTIES</w:t>
      </w:r>
    </w:p>
    <w:p w14:paraId="05711D88" w14:textId="77777777" w:rsidR="00B16CEA" w:rsidRPr="00B16CEA" w:rsidRDefault="00B16CEA" w:rsidP="00B16CEA">
      <w:pPr>
        <w:spacing w:after="0" w:line="240" w:lineRule="auto"/>
        <w:rPr>
          <w:rFonts w:ascii="Arial" w:hAnsi="Arial" w:cs="Arial"/>
          <w:b/>
          <w:sz w:val="24"/>
          <w:szCs w:val="24"/>
        </w:rPr>
      </w:pPr>
    </w:p>
    <w:p w14:paraId="5F869168"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 xml:space="preserve">All CCG staff (and those involved in commissioning and contracting), all members of staff in the IFR </w:t>
      </w:r>
      <w:r w:rsidR="00415165">
        <w:rPr>
          <w:rFonts w:ascii="Arial" w:hAnsi="Arial" w:cs="Arial"/>
          <w:sz w:val="24"/>
          <w:szCs w:val="24"/>
        </w:rPr>
        <w:t xml:space="preserve">team, and referring </w:t>
      </w:r>
      <w:proofErr w:type="gramStart"/>
      <w:r w:rsidR="00415165">
        <w:rPr>
          <w:rFonts w:ascii="Arial" w:hAnsi="Arial" w:cs="Arial"/>
          <w:sz w:val="24"/>
          <w:szCs w:val="24"/>
        </w:rPr>
        <w:t>clinicians</w:t>
      </w:r>
      <w:proofErr w:type="gramEnd"/>
      <w:r w:rsidR="00415165">
        <w:rPr>
          <w:rFonts w:ascii="Arial" w:hAnsi="Arial" w:cs="Arial"/>
          <w:sz w:val="24"/>
          <w:szCs w:val="24"/>
        </w:rPr>
        <w:t xml:space="preserve"> </w:t>
      </w:r>
      <w:r w:rsidRPr="00B16CEA">
        <w:rPr>
          <w:rFonts w:ascii="Arial" w:hAnsi="Arial" w:cs="Arial"/>
          <w:sz w:val="24"/>
          <w:szCs w:val="24"/>
        </w:rPr>
        <w:t xml:space="preserve">primary, secondary and tertiary care) are responsible for following the procedures as set out in this policy. </w:t>
      </w:r>
    </w:p>
    <w:p w14:paraId="48851E4E" w14:textId="77777777" w:rsidR="00B16CEA" w:rsidRPr="00B16CEA" w:rsidRDefault="00B16CEA" w:rsidP="005D08EB">
      <w:pPr>
        <w:spacing w:after="0" w:line="240" w:lineRule="auto"/>
        <w:jc w:val="both"/>
        <w:rPr>
          <w:rFonts w:ascii="Arial" w:hAnsi="Arial" w:cs="Arial"/>
          <w:sz w:val="24"/>
          <w:szCs w:val="24"/>
        </w:rPr>
      </w:pPr>
    </w:p>
    <w:p w14:paraId="35E87E7D" w14:textId="77777777" w:rsidR="004D17E8" w:rsidRDefault="00B16CEA" w:rsidP="005D08EB">
      <w:pPr>
        <w:spacing w:after="0" w:line="240" w:lineRule="auto"/>
        <w:jc w:val="both"/>
        <w:rPr>
          <w:rFonts w:ascii="Arial" w:hAnsi="Arial" w:cs="Arial"/>
          <w:sz w:val="24"/>
          <w:szCs w:val="24"/>
        </w:rPr>
      </w:pPr>
      <w:r w:rsidRPr="00B16CEA">
        <w:rPr>
          <w:rFonts w:ascii="Arial" w:hAnsi="Arial" w:cs="Arial"/>
          <w:sz w:val="24"/>
          <w:szCs w:val="24"/>
        </w:rPr>
        <w:t xml:space="preserve">The Director of </w:t>
      </w:r>
      <w:r w:rsidR="00C3748B">
        <w:rPr>
          <w:rFonts w:ascii="Arial" w:hAnsi="Arial" w:cs="Arial"/>
          <w:sz w:val="24"/>
          <w:szCs w:val="24"/>
        </w:rPr>
        <w:t>Quality &amp; Nursing</w:t>
      </w:r>
      <w:r w:rsidRPr="00B16CEA">
        <w:rPr>
          <w:rFonts w:ascii="Arial" w:hAnsi="Arial" w:cs="Arial"/>
          <w:sz w:val="24"/>
          <w:szCs w:val="24"/>
        </w:rPr>
        <w:t xml:space="preserve"> will be responsible for overseeing adherence </w:t>
      </w:r>
      <w:r w:rsidR="000668E4">
        <w:rPr>
          <w:rFonts w:ascii="Arial" w:hAnsi="Arial" w:cs="Arial"/>
          <w:sz w:val="24"/>
          <w:szCs w:val="24"/>
        </w:rPr>
        <w:t>to the Policy as set out below.</w:t>
      </w:r>
    </w:p>
    <w:p w14:paraId="33494752" w14:textId="77777777" w:rsidR="004D17E8" w:rsidRPr="00B16CEA" w:rsidRDefault="004D17E8" w:rsidP="00B16CEA">
      <w:pPr>
        <w:spacing w:after="0" w:line="240" w:lineRule="auto"/>
        <w:rPr>
          <w:rFonts w:ascii="Arial" w:hAnsi="Arial" w:cs="Arial"/>
          <w:sz w:val="24"/>
          <w:szCs w:val="24"/>
        </w:rPr>
      </w:pPr>
    </w:p>
    <w:p w14:paraId="1D41DA53" w14:textId="77777777" w:rsidR="00B16CEA" w:rsidRPr="00B16CEA" w:rsidRDefault="00542FC3" w:rsidP="00B16CEA">
      <w:pPr>
        <w:spacing w:after="0" w:line="240" w:lineRule="auto"/>
        <w:rPr>
          <w:rFonts w:ascii="Arial" w:hAnsi="Arial" w:cs="Arial"/>
          <w:b/>
          <w:sz w:val="24"/>
          <w:szCs w:val="24"/>
        </w:rPr>
      </w:pPr>
      <w:r>
        <w:rPr>
          <w:rFonts w:ascii="Arial" w:hAnsi="Arial" w:cs="Arial"/>
          <w:b/>
          <w:sz w:val="24"/>
          <w:szCs w:val="24"/>
        </w:rPr>
        <w:t>9</w:t>
      </w:r>
      <w:r w:rsidR="00B16CEA" w:rsidRPr="00B16CEA">
        <w:rPr>
          <w:rFonts w:ascii="Arial" w:hAnsi="Arial" w:cs="Arial"/>
          <w:b/>
          <w:sz w:val="24"/>
          <w:szCs w:val="24"/>
        </w:rPr>
        <w:tab/>
        <w:t>THE INDIVIDUAL FUNDING REQUEST POLICY</w:t>
      </w:r>
    </w:p>
    <w:p w14:paraId="02616B36" w14:textId="77777777" w:rsidR="00B16CEA" w:rsidRPr="00B16CEA" w:rsidRDefault="00B16CEA" w:rsidP="00B16CEA">
      <w:pPr>
        <w:spacing w:after="0" w:line="240" w:lineRule="auto"/>
        <w:rPr>
          <w:rFonts w:ascii="Arial" w:hAnsi="Arial" w:cs="Arial"/>
          <w:b/>
          <w:sz w:val="24"/>
          <w:szCs w:val="24"/>
        </w:rPr>
      </w:pPr>
    </w:p>
    <w:p w14:paraId="6E5AADE9" w14:textId="77777777" w:rsidR="00B16CEA" w:rsidRPr="00B16CEA" w:rsidRDefault="00542FC3" w:rsidP="005D08EB">
      <w:pPr>
        <w:spacing w:after="0" w:line="240" w:lineRule="auto"/>
        <w:contextualSpacing/>
        <w:rPr>
          <w:rFonts w:ascii="Arial" w:hAnsi="Arial" w:cs="Arial"/>
          <w:b/>
          <w:sz w:val="24"/>
          <w:szCs w:val="24"/>
        </w:rPr>
      </w:pPr>
      <w:r>
        <w:rPr>
          <w:rFonts w:ascii="Arial" w:hAnsi="Arial" w:cs="Arial"/>
          <w:b/>
          <w:sz w:val="24"/>
          <w:szCs w:val="24"/>
        </w:rPr>
        <w:t xml:space="preserve">9.1 </w:t>
      </w:r>
      <w:r w:rsidR="00B16CEA" w:rsidRPr="00B16CEA">
        <w:rPr>
          <w:rFonts w:ascii="Arial" w:hAnsi="Arial" w:cs="Arial"/>
          <w:b/>
          <w:sz w:val="24"/>
          <w:szCs w:val="24"/>
        </w:rPr>
        <w:t>Context</w:t>
      </w:r>
    </w:p>
    <w:p w14:paraId="27CEC5CD" w14:textId="77777777" w:rsidR="00B16CEA" w:rsidRPr="00B16CEA" w:rsidRDefault="00B16CEA" w:rsidP="00B16CEA">
      <w:pPr>
        <w:spacing w:after="0" w:line="240" w:lineRule="auto"/>
        <w:rPr>
          <w:rFonts w:ascii="Arial" w:hAnsi="Arial" w:cs="Arial"/>
          <w:b/>
          <w:sz w:val="24"/>
          <w:szCs w:val="24"/>
        </w:rPr>
      </w:pPr>
    </w:p>
    <w:p w14:paraId="42870125"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This policy has been developed in response to the legal duties set out in the NHS Constitution, and a range of guidance as set out below:</w:t>
      </w:r>
    </w:p>
    <w:p w14:paraId="5043C0B5" w14:textId="77777777" w:rsidR="00B16CEA" w:rsidRPr="00B16CEA" w:rsidRDefault="00B16CEA" w:rsidP="005D08EB">
      <w:pPr>
        <w:spacing w:after="0" w:line="240" w:lineRule="auto"/>
        <w:jc w:val="both"/>
        <w:rPr>
          <w:rFonts w:ascii="Arial" w:hAnsi="Arial" w:cs="Arial"/>
          <w:sz w:val="24"/>
          <w:szCs w:val="24"/>
        </w:rPr>
      </w:pPr>
    </w:p>
    <w:p w14:paraId="5244B88B" w14:textId="77777777" w:rsidR="00B16CEA" w:rsidRPr="00E11A64" w:rsidRDefault="00B16CEA" w:rsidP="005D08EB">
      <w:pPr>
        <w:pStyle w:val="ListParagraph"/>
        <w:numPr>
          <w:ilvl w:val="0"/>
          <w:numId w:val="6"/>
        </w:numPr>
        <w:jc w:val="both"/>
        <w:rPr>
          <w:rFonts w:ascii="Arial" w:hAnsi="Arial" w:cs="Arial"/>
          <w:sz w:val="24"/>
          <w:szCs w:val="24"/>
        </w:rPr>
      </w:pPr>
      <w:r w:rsidRPr="00E11A64">
        <w:rPr>
          <w:rFonts w:ascii="Arial" w:hAnsi="Arial" w:cs="Arial"/>
          <w:sz w:val="24"/>
          <w:szCs w:val="24"/>
        </w:rPr>
        <w:t>The NHS Confederation guidance on managing Individual Funding Requests (the NHS Confederation, 2008) (Ref 12.1)</w:t>
      </w:r>
    </w:p>
    <w:p w14:paraId="31688FB4" w14:textId="77777777" w:rsidR="00B16CEA" w:rsidRDefault="00B16CEA" w:rsidP="005D08EB">
      <w:pPr>
        <w:pStyle w:val="ListParagraph"/>
        <w:numPr>
          <w:ilvl w:val="0"/>
          <w:numId w:val="6"/>
        </w:numPr>
        <w:jc w:val="both"/>
        <w:rPr>
          <w:rFonts w:ascii="Arial" w:hAnsi="Arial" w:cs="Arial"/>
          <w:sz w:val="24"/>
          <w:szCs w:val="24"/>
        </w:rPr>
      </w:pPr>
      <w:r w:rsidRPr="00E11A64">
        <w:rPr>
          <w:rFonts w:ascii="Arial" w:hAnsi="Arial" w:cs="Arial"/>
          <w:sz w:val="24"/>
          <w:szCs w:val="24"/>
        </w:rPr>
        <w:t>Regulation 35 of the National Health Service Commissioning Board an</w:t>
      </w:r>
      <w:r w:rsidR="005D08EB">
        <w:rPr>
          <w:rFonts w:ascii="Arial" w:hAnsi="Arial" w:cs="Arial"/>
          <w:sz w:val="24"/>
          <w:szCs w:val="24"/>
        </w:rPr>
        <w:t>d Clinical Commissioning Groups</w:t>
      </w:r>
      <w:r w:rsidRPr="00E11A64">
        <w:rPr>
          <w:rFonts w:ascii="Arial" w:hAnsi="Arial" w:cs="Arial"/>
          <w:sz w:val="24"/>
          <w:szCs w:val="24"/>
        </w:rPr>
        <w:t xml:space="preserve">) Responsibility and Standing Rules).  Regulations 2012 (SI 2012 No 2996) Ref 12.2) which imposes a duty to five reasons for either declining to adopt a policy on any particular intervention or declining a particular treatment for a patient where the policy is not to fund that </w:t>
      </w:r>
      <w:proofErr w:type="gramStart"/>
      <w:r w:rsidRPr="00E11A64">
        <w:rPr>
          <w:rFonts w:ascii="Arial" w:hAnsi="Arial" w:cs="Arial"/>
          <w:sz w:val="24"/>
          <w:szCs w:val="24"/>
        </w:rPr>
        <w:t>intervention</w:t>
      </w:r>
      <w:proofErr w:type="gramEnd"/>
    </w:p>
    <w:p w14:paraId="135DB2C0" w14:textId="77777777" w:rsidR="00B16CEA" w:rsidRPr="00E11A64" w:rsidRDefault="00B16CEA" w:rsidP="005D08EB">
      <w:pPr>
        <w:pStyle w:val="ListParagraph"/>
        <w:numPr>
          <w:ilvl w:val="0"/>
          <w:numId w:val="6"/>
        </w:numPr>
        <w:jc w:val="both"/>
        <w:rPr>
          <w:rFonts w:ascii="Arial" w:hAnsi="Arial" w:cs="Arial"/>
          <w:sz w:val="24"/>
          <w:szCs w:val="24"/>
        </w:rPr>
      </w:pPr>
      <w:r w:rsidRPr="00E11A64">
        <w:rPr>
          <w:rFonts w:ascii="Arial" w:hAnsi="Arial" w:cs="Arial"/>
          <w:sz w:val="24"/>
          <w:szCs w:val="24"/>
        </w:rPr>
        <w:t>The NHS Constitution (DH, March 2013) (Ref 12.3).  Two rights relate specifically to the availability of medicines and other treatments.</w:t>
      </w:r>
    </w:p>
    <w:p w14:paraId="0C9F38BC" w14:textId="77777777" w:rsidR="00B16CEA" w:rsidRPr="00B16CEA" w:rsidRDefault="00B16CEA" w:rsidP="00B16CEA">
      <w:pPr>
        <w:spacing w:after="0" w:line="240" w:lineRule="auto"/>
        <w:contextualSpacing/>
        <w:rPr>
          <w:rFonts w:ascii="Arial" w:hAnsi="Arial" w:cs="Arial"/>
          <w:sz w:val="24"/>
          <w:szCs w:val="24"/>
        </w:rPr>
      </w:pPr>
    </w:p>
    <w:p w14:paraId="535034A0" w14:textId="77777777" w:rsidR="00E11A64" w:rsidRPr="00E11A64" w:rsidRDefault="00B16CEA" w:rsidP="005D08EB">
      <w:pPr>
        <w:pStyle w:val="ListParagraph"/>
        <w:numPr>
          <w:ilvl w:val="0"/>
          <w:numId w:val="8"/>
        </w:numPr>
        <w:jc w:val="both"/>
        <w:rPr>
          <w:rFonts w:ascii="Arial" w:hAnsi="Arial" w:cs="Arial"/>
          <w:sz w:val="24"/>
          <w:szCs w:val="24"/>
        </w:rPr>
      </w:pPr>
      <w:r w:rsidRPr="00E11A64">
        <w:rPr>
          <w:rFonts w:ascii="Arial" w:hAnsi="Arial" w:cs="Arial"/>
          <w:sz w:val="24"/>
          <w:szCs w:val="24"/>
        </w:rPr>
        <w:t>You have the right to drugs and treatments that have been recommended by NICE for use in the NHS if your doctor says they are clinically appropriate for you.</w:t>
      </w:r>
      <w:r w:rsidR="00271433">
        <w:rPr>
          <w:rFonts w:ascii="Arial" w:hAnsi="Arial" w:cs="Arial"/>
          <w:sz w:val="24"/>
          <w:szCs w:val="24"/>
        </w:rPr>
        <w:t xml:space="preserve"> NICE </w:t>
      </w:r>
      <w:r w:rsidR="008A757D">
        <w:rPr>
          <w:rFonts w:ascii="Arial" w:hAnsi="Arial" w:cs="Arial"/>
          <w:sz w:val="24"/>
          <w:szCs w:val="24"/>
        </w:rPr>
        <w:t>“</w:t>
      </w:r>
      <w:r w:rsidR="00271433">
        <w:rPr>
          <w:rFonts w:ascii="Arial" w:hAnsi="Arial" w:cs="Arial"/>
          <w:sz w:val="24"/>
          <w:szCs w:val="24"/>
        </w:rPr>
        <w:t>Guidance</w:t>
      </w:r>
      <w:r w:rsidR="008A757D">
        <w:rPr>
          <w:rFonts w:ascii="Arial" w:hAnsi="Arial" w:cs="Arial"/>
          <w:sz w:val="24"/>
          <w:szCs w:val="24"/>
        </w:rPr>
        <w:t>”</w:t>
      </w:r>
      <w:r w:rsidR="00271433">
        <w:rPr>
          <w:rFonts w:ascii="Arial" w:hAnsi="Arial" w:cs="Arial"/>
          <w:sz w:val="24"/>
          <w:szCs w:val="24"/>
        </w:rPr>
        <w:t xml:space="preserve"> does not constitute</w:t>
      </w:r>
      <w:r w:rsidR="008A757D">
        <w:rPr>
          <w:rFonts w:ascii="Arial" w:hAnsi="Arial" w:cs="Arial"/>
          <w:sz w:val="24"/>
          <w:szCs w:val="24"/>
        </w:rPr>
        <w:t xml:space="preserve"> a right to a treatment or drug. This</w:t>
      </w:r>
      <w:r w:rsidR="00271433">
        <w:rPr>
          <w:rFonts w:ascii="Arial" w:hAnsi="Arial" w:cs="Arial"/>
          <w:sz w:val="24"/>
          <w:szCs w:val="24"/>
        </w:rPr>
        <w:t xml:space="preserve"> falls within the remit of the commissioner to decide.</w:t>
      </w:r>
    </w:p>
    <w:p w14:paraId="46FFBE08" w14:textId="77777777" w:rsidR="00B16CEA" w:rsidRPr="00E11A64" w:rsidRDefault="00B16CEA" w:rsidP="005D08EB">
      <w:pPr>
        <w:pStyle w:val="ListParagraph"/>
        <w:numPr>
          <w:ilvl w:val="0"/>
          <w:numId w:val="8"/>
        </w:numPr>
        <w:jc w:val="both"/>
        <w:rPr>
          <w:rFonts w:ascii="Arial" w:hAnsi="Arial" w:cs="Arial"/>
          <w:sz w:val="24"/>
          <w:szCs w:val="24"/>
        </w:rPr>
      </w:pPr>
      <w:r w:rsidRPr="00E11A64">
        <w:rPr>
          <w:rFonts w:ascii="Arial" w:hAnsi="Arial" w:cs="Arial"/>
          <w:sz w:val="24"/>
          <w:szCs w:val="24"/>
        </w:rPr>
        <w:t>You have the right to expect local decision on funding of other drugs and treatments to be made rationally following a proper consideration of the evidence.  If the local NHS decides not to fund a drug or treatment you and your doctor feel would be right for you, they will explain that decision to you.</w:t>
      </w:r>
    </w:p>
    <w:p w14:paraId="5C2A25ED" w14:textId="77777777" w:rsidR="00B16CEA" w:rsidRPr="00B16CEA" w:rsidRDefault="00B16CEA" w:rsidP="00B16CEA">
      <w:pPr>
        <w:spacing w:after="0" w:line="240" w:lineRule="auto"/>
        <w:rPr>
          <w:rFonts w:ascii="Arial" w:hAnsi="Arial" w:cs="Arial"/>
          <w:sz w:val="24"/>
          <w:szCs w:val="24"/>
        </w:rPr>
      </w:pPr>
    </w:p>
    <w:p w14:paraId="57FDD9F3" w14:textId="77777777" w:rsidR="00B16CEA" w:rsidRPr="00E11A64" w:rsidRDefault="00B16CEA" w:rsidP="005D08EB">
      <w:pPr>
        <w:pStyle w:val="ListParagraph"/>
        <w:numPr>
          <w:ilvl w:val="0"/>
          <w:numId w:val="9"/>
        </w:numPr>
        <w:jc w:val="both"/>
        <w:rPr>
          <w:rFonts w:ascii="Arial" w:hAnsi="Arial" w:cs="Arial"/>
          <w:sz w:val="24"/>
          <w:szCs w:val="24"/>
        </w:rPr>
      </w:pPr>
      <w:r w:rsidRPr="00E11A64">
        <w:rPr>
          <w:rFonts w:ascii="Arial" w:hAnsi="Arial" w:cs="Arial"/>
          <w:sz w:val="24"/>
          <w:szCs w:val="24"/>
        </w:rPr>
        <w:t>Guiding principles for processes supporting local decision making about medicines and a Handbook of good practice guidance (Department of Health/National Prescribing Centre, February 2009) (Ref 12.4).</w:t>
      </w:r>
    </w:p>
    <w:p w14:paraId="409F2BD9" w14:textId="77777777" w:rsidR="00B16CEA" w:rsidRPr="00E11A64" w:rsidRDefault="00B16CEA" w:rsidP="005D08EB">
      <w:pPr>
        <w:pStyle w:val="ListParagraph"/>
        <w:numPr>
          <w:ilvl w:val="0"/>
          <w:numId w:val="9"/>
        </w:numPr>
        <w:jc w:val="both"/>
        <w:rPr>
          <w:rFonts w:ascii="Arial" w:hAnsi="Arial" w:cs="Arial"/>
          <w:sz w:val="24"/>
          <w:szCs w:val="24"/>
        </w:rPr>
      </w:pPr>
      <w:r w:rsidRPr="00E11A64">
        <w:rPr>
          <w:rFonts w:ascii="Arial" w:hAnsi="Arial" w:cs="Arial"/>
          <w:sz w:val="24"/>
          <w:szCs w:val="24"/>
        </w:rPr>
        <w:t>Guidance on NHS patients who wish to pay for additional private care (Department of Health, March 2009) (Ref 12.5).</w:t>
      </w:r>
    </w:p>
    <w:p w14:paraId="3562053D" w14:textId="77777777" w:rsidR="00B16CEA" w:rsidRPr="00E11A64" w:rsidRDefault="00B16CEA" w:rsidP="005D08EB">
      <w:pPr>
        <w:pStyle w:val="ListParagraph"/>
        <w:numPr>
          <w:ilvl w:val="0"/>
          <w:numId w:val="9"/>
        </w:numPr>
        <w:jc w:val="both"/>
        <w:rPr>
          <w:rFonts w:ascii="Arial" w:hAnsi="Arial" w:cs="Arial"/>
          <w:sz w:val="24"/>
          <w:szCs w:val="24"/>
        </w:rPr>
      </w:pPr>
      <w:r w:rsidRPr="00E11A64">
        <w:rPr>
          <w:rFonts w:ascii="Arial" w:hAnsi="Arial" w:cs="Arial"/>
          <w:sz w:val="24"/>
          <w:szCs w:val="24"/>
        </w:rPr>
        <w:t>The Operating Framework for the NHS in England 2014/15 (Department of Health, December 2011) (Ref 12.6).</w:t>
      </w:r>
    </w:p>
    <w:p w14:paraId="0C6FD419" w14:textId="77777777" w:rsidR="00B16CEA" w:rsidRPr="00B16CEA" w:rsidRDefault="00B16CEA" w:rsidP="00B16CEA">
      <w:pPr>
        <w:spacing w:after="0" w:line="240" w:lineRule="auto"/>
        <w:rPr>
          <w:rFonts w:ascii="Arial" w:hAnsi="Arial" w:cs="Arial"/>
          <w:sz w:val="24"/>
          <w:szCs w:val="24"/>
        </w:rPr>
      </w:pPr>
    </w:p>
    <w:p w14:paraId="39287BE1" w14:textId="77777777" w:rsidR="00B16CEA" w:rsidRPr="00B16CEA" w:rsidRDefault="00542FC3" w:rsidP="005D08EB">
      <w:pPr>
        <w:spacing w:after="0" w:line="240" w:lineRule="auto"/>
        <w:contextualSpacing/>
        <w:rPr>
          <w:rFonts w:ascii="Arial" w:hAnsi="Arial" w:cs="Arial"/>
          <w:b/>
          <w:sz w:val="24"/>
          <w:szCs w:val="24"/>
        </w:rPr>
      </w:pPr>
      <w:r>
        <w:rPr>
          <w:rFonts w:ascii="Arial" w:hAnsi="Arial" w:cs="Arial"/>
          <w:b/>
          <w:sz w:val="24"/>
          <w:szCs w:val="24"/>
        </w:rPr>
        <w:t xml:space="preserve">9.2 </w:t>
      </w:r>
      <w:r w:rsidR="00B16CEA" w:rsidRPr="00B16CEA">
        <w:rPr>
          <w:rFonts w:ascii="Arial" w:hAnsi="Arial" w:cs="Arial"/>
          <w:b/>
          <w:sz w:val="24"/>
          <w:szCs w:val="24"/>
        </w:rPr>
        <w:t>Development of General Policies for Interventions</w:t>
      </w:r>
    </w:p>
    <w:p w14:paraId="61253470" w14:textId="77777777" w:rsidR="00B16CEA" w:rsidRPr="00B16CEA" w:rsidRDefault="00B16CEA" w:rsidP="00B16CEA">
      <w:pPr>
        <w:spacing w:after="0" w:line="240" w:lineRule="auto"/>
        <w:rPr>
          <w:rFonts w:ascii="Arial" w:hAnsi="Arial" w:cs="Arial"/>
          <w:b/>
          <w:sz w:val="24"/>
          <w:szCs w:val="24"/>
        </w:rPr>
      </w:pPr>
    </w:p>
    <w:p w14:paraId="6B599463"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Each year, the CCG p</w:t>
      </w:r>
      <w:r w:rsidR="00E11A64">
        <w:rPr>
          <w:rFonts w:ascii="Arial" w:hAnsi="Arial" w:cs="Arial"/>
          <w:sz w:val="24"/>
          <w:szCs w:val="24"/>
        </w:rPr>
        <w:t xml:space="preserve">lans investment in health care </w:t>
      </w:r>
      <w:r w:rsidRPr="00B16CEA">
        <w:rPr>
          <w:rFonts w:ascii="Arial" w:hAnsi="Arial" w:cs="Arial"/>
          <w:sz w:val="24"/>
          <w:szCs w:val="24"/>
        </w:rPr>
        <w:t xml:space="preserve">interventions and services as part of its operating plan </w:t>
      </w:r>
      <w:r w:rsidR="00E11A64" w:rsidRPr="00B16CEA">
        <w:rPr>
          <w:rFonts w:ascii="Arial" w:hAnsi="Arial" w:cs="Arial"/>
          <w:sz w:val="24"/>
          <w:szCs w:val="24"/>
        </w:rPr>
        <w:t>development process</w:t>
      </w:r>
      <w:r w:rsidRPr="00B16CEA">
        <w:rPr>
          <w:rFonts w:ascii="Arial" w:hAnsi="Arial" w:cs="Arial"/>
          <w:sz w:val="24"/>
          <w:szCs w:val="24"/>
        </w:rPr>
        <w:t xml:space="preserve"> to meet the needs of its local population.  Commissioning </w:t>
      </w:r>
      <w:r w:rsidRPr="00B16CEA">
        <w:rPr>
          <w:rFonts w:ascii="Arial" w:hAnsi="Arial" w:cs="Arial"/>
          <w:sz w:val="24"/>
          <w:szCs w:val="24"/>
        </w:rPr>
        <w:lastRenderedPageBreak/>
        <w:t xml:space="preserve">decisions are usually made in collaboration with health care providers and other </w:t>
      </w:r>
      <w:proofErr w:type="gramStart"/>
      <w:r w:rsidRPr="00B16CEA">
        <w:rPr>
          <w:rFonts w:ascii="Arial" w:hAnsi="Arial" w:cs="Arial"/>
          <w:sz w:val="24"/>
          <w:szCs w:val="24"/>
        </w:rPr>
        <w:t>stakeholders, and</w:t>
      </w:r>
      <w:proofErr w:type="gramEnd"/>
      <w:r w:rsidRPr="00B16CEA">
        <w:rPr>
          <w:rFonts w:ascii="Arial" w:hAnsi="Arial" w:cs="Arial"/>
          <w:sz w:val="24"/>
          <w:szCs w:val="24"/>
        </w:rPr>
        <w:t xml:space="preserve"> are taken in the context of the CCG’s available resources to ensure that care is fairly allocated to all patients and, where appropriate, measured against the CCG’s other service development priorities, NICE guidance and national priorities.</w:t>
      </w:r>
    </w:p>
    <w:p w14:paraId="669E82CA" w14:textId="77777777" w:rsidR="00B16CEA" w:rsidRPr="00B16CEA" w:rsidRDefault="00B16CEA" w:rsidP="005D08EB">
      <w:pPr>
        <w:spacing w:after="0" w:line="240" w:lineRule="auto"/>
        <w:jc w:val="both"/>
        <w:rPr>
          <w:rFonts w:ascii="Arial" w:hAnsi="Arial" w:cs="Arial"/>
          <w:sz w:val="24"/>
          <w:szCs w:val="24"/>
        </w:rPr>
      </w:pPr>
    </w:p>
    <w:p w14:paraId="6A0C5DB7"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When planning its investment</w:t>
      </w:r>
      <w:r w:rsidR="00E11A64">
        <w:rPr>
          <w:rFonts w:ascii="Arial" w:hAnsi="Arial" w:cs="Arial"/>
          <w:sz w:val="24"/>
          <w:szCs w:val="24"/>
        </w:rPr>
        <w:t xml:space="preserve">s, the CCG works with provider </w:t>
      </w:r>
      <w:r w:rsidRPr="00B16CEA">
        <w:rPr>
          <w:rFonts w:ascii="Arial" w:hAnsi="Arial" w:cs="Arial"/>
          <w:sz w:val="24"/>
          <w:szCs w:val="24"/>
        </w:rPr>
        <w:t>partners and stakeholders to identify, as far as possible, those new interventions that are likely to have a significant clinical impact and require potential commissioning; this is often referred to as horizon scanning.</w:t>
      </w:r>
    </w:p>
    <w:p w14:paraId="7774299E" w14:textId="77777777" w:rsidR="00B16CEA" w:rsidRPr="00B16CEA" w:rsidRDefault="00B16CEA" w:rsidP="005D08EB">
      <w:pPr>
        <w:spacing w:after="0" w:line="240" w:lineRule="auto"/>
        <w:jc w:val="both"/>
        <w:rPr>
          <w:rFonts w:ascii="Arial" w:hAnsi="Arial" w:cs="Arial"/>
          <w:b/>
          <w:sz w:val="24"/>
          <w:szCs w:val="24"/>
        </w:rPr>
      </w:pPr>
    </w:p>
    <w:p w14:paraId="3E6D8111"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 xml:space="preserve">Most health care interventions are commissioned as </w:t>
      </w:r>
      <w:r w:rsidR="00E11A64">
        <w:rPr>
          <w:rFonts w:ascii="Arial" w:hAnsi="Arial" w:cs="Arial"/>
          <w:sz w:val="24"/>
          <w:szCs w:val="24"/>
        </w:rPr>
        <w:t xml:space="preserve">part of </w:t>
      </w:r>
      <w:r w:rsidRPr="00B16CEA">
        <w:rPr>
          <w:rFonts w:ascii="Arial" w:hAnsi="Arial" w:cs="Arial"/>
          <w:sz w:val="24"/>
          <w:szCs w:val="24"/>
        </w:rPr>
        <w:t>Contracts with provider partners.  However, it is likely that during the year there will be requests for interventions not covered by the CCG’s commissioning policies.  The CCG, therefore, needs to be able to make decisions about these requests that are fair and consistent.</w:t>
      </w:r>
    </w:p>
    <w:p w14:paraId="09FD4DF5" w14:textId="77777777" w:rsidR="00B16CEA" w:rsidRPr="00B16CEA" w:rsidRDefault="00B16CEA" w:rsidP="005D08EB">
      <w:pPr>
        <w:spacing w:after="0" w:line="240" w:lineRule="auto"/>
        <w:jc w:val="both"/>
        <w:rPr>
          <w:rFonts w:ascii="Arial" w:hAnsi="Arial" w:cs="Arial"/>
          <w:sz w:val="24"/>
          <w:szCs w:val="24"/>
        </w:rPr>
      </w:pPr>
    </w:p>
    <w:p w14:paraId="55A46F3E" w14:textId="77777777" w:rsidR="00B16CEA" w:rsidRPr="00B16CEA" w:rsidRDefault="00B16CEA" w:rsidP="005D08EB">
      <w:pPr>
        <w:spacing w:after="0" w:line="240" w:lineRule="auto"/>
        <w:jc w:val="both"/>
        <w:rPr>
          <w:rFonts w:ascii="Arial" w:hAnsi="Arial" w:cs="Arial"/>
          <w:sz w:val="24"/>
          <w:szCs w:val="24"/>
        </w:rPr>
      </w:pPr>
      <w:r w:rsidRPr="00B16CEA">
        <w:rPr>
          <w:rFonts w:ascii="Arial" w:hAnsi="Arial" w:cs="Arial"/>
          <w:sz w:val="24"/>
          <w:szCs w:val="24"/>
        </w:rPr>
        <w:t>All Individual Funding Requests are</w:t>
      </w:r>
      <w:r w:rsidR="00E11A64">
        <w:rPr>
          <w:rFonts w:ascii="Arial" w:hAnsi="Arial" w:cs="Arial"/>
          <w:sz w:val="24"/>
          <w:szCs w:val="24"/>
        </w:rPr>
        <w:t xml:space="preserve"> triaged to identify whether a </w:t>
      </w:r>
      <w:r w:rsidRPr="00B16CEA">
        <w:rPr>
          <w:rFonts w:ascii="Arial" w:hAnsi="Arial" w:cs="Arial"/>
          <w:sz w:val="24"/>
          <w:szCs w:val="24"/>
        </w:rPr>
        <w:t xml:space="preserve">request submitted on behalf of an individual would apply to a population of patients.  Where that is the case, the request may trigger the development of a new policy for that intervention and indication (called a general commissioning </w:t>
      </w:r>
      <w:r w:rsidR="00AE39E0">
        <w:rPr>
          <w:rFonts w:ascii="Arial" w:hAnsi="Arial" w:cs="Arial"/>
          <w:sz w:val="24"/>
          <w:szCs w:val="24"/>
        </w:rPr>
        <w:t>statement</w:t>
      </w:r>
      <w:r w:rsidRPr="00B16CEA">
        <w:rPr>
          <w:rFonts w:ascii="Arial" w:hAnsi="Arial" w:cs="Arial"/>
          <w:sz w:val="24"/>
          <w:szCs w:val="24"/>
        </w:rPr>
        <w:t xml:space="preserve">) or modification of an existing general commissioning </w:t>
      </w:r>
      <w:r w:rsidR="00AE39E0">
        <w:rPr>
          <w:rFonts w:ascii="Arial" w:hAnsi="Arial" w:cs="Arial"/>
          <w:sz w:val="24"/>
          <w:szCs w:val="24"/>
        </w:rPr>
        <w:t>statement</w:t>
      </w:r>
      <w:r w:rsidRPr="00B16CEA">
        <w:rPr>
          <w:rFonts w:ascii="Arial" w:hAnsi="Arial" w:cs="Arial"/>
          <w:sz w:val="24"/>
          <w:szCs w:val="24"/>
        </w:rPr>
        <w:t>.  This, however, does not remove the obligation to consider the application received.</w:t>
      </w:r>
    </w:p>
    <w:p w14:paraId="204C830E" w14:textId="77777777" w:rsidR="00B16CEA" w:rsidRPr="00B16CEA" w:rsidRDefault="00B16CEA" w:rsidP="00B16CEA">
      <w:pPr>
        <w:spacing w:after="0" w:line="240" w:lineRule="auto"/>
        <w:rPr>
          <w:rFonts w:ascii="Arial" w:hAnsi="Arial" w:cs="Arial"/>
          <w:sz w:val="24"/>
          <w:szCs w:val="24"/>
        </w:rPr>
      </w:pPr>
    </w:p>
    <w:p w14:paraId="324C6849" w14:textId="77777777" w:rsidR="00B16CEA" w:rsidRPr="00B16CEA" w:rsidRDefault="00542FC3" w:rsidP="00542FC3">
      <w:pPr>
        <w:spacing w:after="0" w:line="240" w:lineRule="auto"/>
        <w:rPr>
          <w:rFonts w:ascii="Arial" w:hAnsi="Arial" w:cs="Arial"/>
          <w:b/>
          <w:sz w:val="24"/>
          <w:szCs w:val="24"/>
        </w:rPr>
      </w:pPr>
      <w:r>
        <w:rPr>
          <w:rFonts w:ascii="Arial" w:hAnsi="Arial" w:cs="Arial"/>
          <w:b/>
          <w:sz w:val="24"/>
          <w:szCs w:val="24"/>
        </w:rPr>
        <w:t xml:space="preserve">9.3 </w:t>
      </w:r>
      <w:r w:rsidR="00B16CEA" w:rsidRPr="00B16CEA">
        <w:rPr>
          <w:rFonts w:ascii="Arial" w:hAnsi="Arial" w:cs="Arial"/>
          <w:b/>
          <w:sz w:val="24"/>
          <w:szCs w:val="24"/>
        </w:rPr>
        <w:t>Health Care Interventions that the CCG will not Commission Routinely</w:t>
      </w:r>
    </w:p>
    <w:p w14:paraId="384974D6" w14:textId="77777777" w:rsidR="00B16CEA" w:rsidRPr="00B16CEA" w:rsidRDefault="00B16CEA" w:rsidP="00B16CEA">
      <w:pPr>
        <w:spacing w:after="0" w:line="240" w:lineRule="auto"/>
        <w:rPr>
          <w:rFonts w:ascii="Arial" w:hAnsi="Arial" w:cs="Arial"/>
          <w:b/>
          <w:sz w:val="24"/>
          <w:szCs w:val="24"/>
        </w:rPr>
      </w:pPr>
    </w:p>
    <w:p w14:paraId="7514180C" w14:textId="77777777" w:rsidR="00B16CEA" w:rsidRPr="00B16CEA" w:rsidRDefault="00B16CEA" w:rsidP="007A02A5">
      <w:pPr>
        <w:spacing w:after="0" w:line="240" w:lineRule="auto"/>
        <w:jc w:val="both"/>
        <w:rPr>
          <w:rFonts w:ascii="Arial" w:hAnsi="Arial" w:cs="Arial"/>
          <w:sz w:val="24"/>
          <w:szCs w:val="24"/>
        </w:rPr>
      </w:pPr>
      <w:r w:rsidRPr="00B16CEA">
        <w:rPr>
          <w:rFonts w:ascii="Arial" w:hAnsi="Arial" w:cs="Arial"/>
          <w:sz w:val="24"/>
          <w:szCs w:val="24"/>
        </w:rPr>
        <w:t xml:space="preserve">There are </w:t>
      </w:r>
      <w:proofErr w:type="gramStart"/>
      <w:r w:rsidRPr="00B16CEA">
        <w:rPr>
          <w:rFonts w:ascii="Arial" w:hAnsi="Arial" w:cs="Arial"/>
          <w:sz w:val="24"/>
          <w:szCs w:val="24"/>
        </w:rPr>
        <w:t>a number of</w:t>
      </w:r>
      <w:proofErr w:type="gramEnd"/>
      <w:r w:rsidRPr="00B16CEA">
        <w:rPr>
          <w:rFonts w:ascii="Arial" w:hAnsi="Arial" w:cs="Arial"/>
          <w:sz w:val="24"/>
          <w:szCs w:val="24"/>
        </w:rPr>
        <w:t xml:space="preserve"> health car</w:t>
      </w:r>
      <w:r w:rsidR="00E11A64">
        <w:rPr>
          <w:rFonts w:ascii="Arial" w:hAnsi="Arial" w:cs="Arial"/>
          <w:sz w:val="24"/>
          <w:szCs w:val="24"/>
        </w:rPr>
        <w:t xml:space="preserve">e interventions (under regular </w:t>
      </w:r>
      <w:r w:rsidRPr="00B16CEA">
        <w:rPr>
          <w:rFonts w:ascii="Arial" w:hAnsi="Arial" w:cs="Arial"/>
          <w:sz w:val="24"/>
          <w:szCs w:val="24"/>
        </w:rPr>
        <w:t xml:space="preserve">review) that the CCG will not commission as a matter of routine.  The reason for the CCG taking that decision may be due to uncertainties over clinical effectiveness, cost effectiveness or </w:t>
      </w:r>
    </w:p>
    <w:p w14:paraId="1EEB6A30" w14:textId="77777777" w:rsidR="00B16CEA" w:rsidRPr="00B16CEA" w:rsidRDefault="00E11A64" w:rsidP="007A02A5">
      <w:pPr>
        <w:spacing w:after="0" w:line="240" w:lineRule="auto"/>
        <w:jc w:val="both"/>
        <w:rPr>
          <w:rFonts w:ascii="Arial" w:hAnsi="Arial" w:cs="Arial"/>
          <w:sz w:val="24"/>
          <w:szCs w:val="24"/>
        </w:rPr>
      </w:pPr>
      <w:r w:rsidRPr="00B16CEA">
        <w:rPr>
          <w:rFonts w:ascii="Arial" w:hAnsi="Arial" w:cs="Arial"/>
          <w:sz w:val="24"/>
          <w:szCs w:val="24"/>
        </w:rPr>
        <w:t>Patient</w:t>
      </w:r>
      <w:r w:rsidR="00B16CEA" w:rsidRPr="00B16CEA">
        <w:rPr>
          <w:rFonts w:ascii="Arial" w:hAnsi="Arial" w:cs="Arial"/>
          <w:sz w:val="24"/>
          <w:szCs w:val="24"/>
        </w:rPr>
        <w:t xml:space="preserve"> safety</w:t>
      </w:r>
      <w:r w:rsidR="002474EC">
        <w:rPr>
          <w:rFonts w:ascii="Arial" w:hAnsi="Arial" w:cs="Arial"/>
          <w:sz w:val="24"/>
          <w:szCs w:val="24"/>
        </w:rPr>
        <w:t xml:space="preserve"> (Procedures of low clinical value POLCV)</w:t>
      </w:r>
      <w:r w:rsidR="00B16CEA" w:rsidRPr="00B16CEA">
        <w:rPr>
          <w:rFonts w:ascii="Arial" w:hAnsi="Arial" w:cs="Arial"/>
          <w:sz w:val="24"/>
          <w:szCs w:val="24"/>
        </w:rPr>
        <w:t>.  Some health care interventions are restricted in their availability by requiring specific criteria to be met.</w:t>
      </w:r>
      <w:r w:rsidR="0013298D">
        <w:rPr>
          <w:rFonts w:ascii="Arial" w:hAnsi="Arial" w:cs="Arial"/>
          <w:sz w:val="24"/>
          <w:szCs w:val="24"/>
        </w:rPr>
        <w:t xml:space="preserve"> Nationally mandated Evidenced Based Intervention (EBI) restrictions in the NHS Standard Contract will generally be already covered locally, but EBI do not supersede local arrangements that may go further in restricting access to treatments within the NICE framework.</w:t>
      </w:r>
    </w:p>
    <w:p w14:paraId="48558795" w14:textId="77777777" w:rsidR="00B16CEA" w:rsidRPr="00B16CEA" w:rsidRDefault="00B16CEA" w:rsidP="007A02A5">
      <w:pPr>
        <w:spacing w:after="0" w:line="240" w:lineRule="auto"/>
        <w:jc w:val="both"/>
        <w:rPr>
          <w:rFonts w:ascii="Arial" w:hAnsi="Arial" w:cs="Arial"/>
          <w:sz w:val="24"/>
          <w:szCs w:val="24"/>
        </w:rPr>
      </w:pPr>
    </w:p>
    <w:p w14:paraId="143F384C" w14:textId="77777777" w:rsidR="00B16CEA" w:rsidRPr="00B16CEA" w:rsidRDefault="00B16CEA" w:rsidP="007A02A5">
      <w:pPr>
        <w:spacing w:after="0" w:line="240" w:lineRule="auto"/>
        <w:jc w:val="both"/>
        <w:rPr>
          <w:rFonts w:ascii="Arial" w:hAnsi="Arial" w:cs="Arial"/>
          <w:sz w:val="24"/>
          <w:szCs w:val="24"/>
        </w:rPr>
      </w:pPr>
      <w:r w:rsidRPr="00B16CEA">
        <w:rPr>
          <w:rFonts w:ascii="Arial" w:hAnsi="Arial" w:cs="Arial"/>
          <w:sz w:val="24"/>
          <w:szCs w:val="24"/>
        </w:rPr>
        <w:t>In reviewing the procedures which will not be routinely available, the CCG will follow guidance that may be issued from time to time by the Department of Health and that complies with relevant UK law.  The CCG will also seek to achieve a high degree of consistency with equivalent lists from other CCGs.</w:t>
      </w:r>
      <w:r w:rsidR="0013298D">
        <w:rPr>
          <w:rFonts w:ascii="Arial" w:hAnsi="Arial" w:cs="Arial"/>
          <w:sz w:val="24"/>
          <w:szCs w:val="24"/>
        </w:rPr>
        <w:t xml:space="preserve"> The CCG has developed with the 4 other Humber CCG’s a comprehensive agreed Commissioning statement list. This is constantl</w:t>
      </w:r>
      <w:r w:rsidR="0002075E">
        <w:rPr>
          <w:rFonts w:ascii="Arial" w:hAnsi="Arial" w:cs="Arial"/>
          <w:sz w:val="24"/>
          <w:szCs w:val="24"/>
        </w:rPr>
        <w:t>y under review for update or ex</w:t>
      </w:r>
      <w:r w:rsidR="0013298D">
        <w:rPr>
          <w:rFonts w:ascii="Arial" w:hAnsi="Arial" w:cs="Arial"/>
          <w:sz w:val="24"/>
          <w:szCs w:val="24"/>
        </w:rPr>
        <w:t>tension.</w:t>
      </w:r>
    </w:p>
    <w:p w14:paraId="585F74EE" w14:textId="77777777" w:rsidR="00B16CEA" w:rsidRPr="00B16CEA" w:rsidRDefault="00B16CEA" w:rsidP="007A02A5">
      <w:pPr>
        <w:spacing w:after="0" w:line="240" w:lineRule="auto"/>
        <w:jc w:val="both"/>
        <w:rPr>
          <w:rFonts w:ascii="Arial" w:hAnsi="Arial" w:cs="Arial"/>
          <w:b/>
          <w:sz w:val="24"/>
          <w:szCs w:val="24"/>
        </w:rPr>
      </w:pPr>
    </w:p>
    <w:p w14:paraId="6115A693" w14:textId="77777777" w:rsidR="00B16CEA" w:rsidRPr="00B16CEA" w:rsidRDefault="00B16CEA" w:rsidP="007A02A5">
      <w:pPr>
        <w:spacing w:after="0" w:line="240" w:lineRule="auto"/>
        <w:jc w:val="both"/>
        <w:rPr>
          <w:rFonts w:ascii="Arial" w:hAnsi="Arial" w:cs="Arial"/>
          <w:sz w:val="24"/>
          <w:szCs w:val="24"/>
        </w:rPr>
      </w:pPr>
      <w:r w:rsidRPr="00B16CEA">
        <w:rPr>
          <w:rFonts w:ascii="Arial" w:hAnsi="Arial" w:cs="Arial"/>
          <w:sz w:val="24"/>
          <w:szCs w:val="24"/>
        </w:rPr>
        <w:t xml:space="preserve">Commissioners, general practitioners, service providers and clinical staff considering treating patients from whom the CCG is responsible will be expected to consider the CCG’s clinical commissioning </w:t>
      </w:r>
      <w:r w:rsidR="0013298D">
        <w:rPr>
          <w:rFonts w:ascii="Arial" w:hAnsi="Arial" w:cs="Arial"/>
          <w:sz w:val="24"/>
          <w:szCs w:val="24"/>
        </w:rPr>
        <w:t>statements</w:t>
      </w:r>
      <w:r w:rsidRPr="00B16CEA">
        <w:rPr>
          <w:rFonts w:ascii="Arial" w:hAnsi="Arial" w:cs="Arial"/>
          <w:sz w:val="24"/>
          <w:szCs w:val="24"/>
        </w:rPr>
        <w:t xml:space="preserve"> in their decision making.  Exceptions to the general clinical commissioning </w:t>
      </w:r>
      <w:r w:rsidR="0013298D">
        <w:rPr>
          <w:rFonts w:ascii="Arial" w:hAnsi="Arial" w:cs="Arial"/>
          <w:sz w:val="24"/>
          <w:szCs w:val="24"/>
        </w:rPr>
        <w:t>statements</w:t>
      </w:r>
      <w:r w:rsidRPr="00B16CEA">
        <w:rPr>
          <w:rFonts w:ascii="Arial" w:hAnsi="Arial" w:cs="Arial"/>
          <w:sz w:val="24"/>
          <w:szCs w:val="24"/>
        </w:rPr>
        <w:t xml:space="preserve"> will only be considered for approval via an Individual Funding Request.</w:t>
      </w:r>
    </w:p>
    <w:p w14:paraId="16A4469F" w14:textId="77777777" w:rsidR="00B16CEA" w:rsidRPr="00B16CEA" w:rsidRDefault="00B16CEA" w:rsidP="007A02A5">
      <w:pPr>
        <w:spacing w:after="0" w:line="240" w:lineRule="auto"/>
        <w:jc w:val="both"/>
        <w:rPr>
          <w:rFonts w:ascii="Arial" w:hAnsi="Arial" w:cs="Arial"/>
          <w:b/>
          <w:sz w:val="24"/>
          <w:szCs w:val="24"/>
        </w:rPr>
      </w:pPr>
    </w:p>
    <w:p w14:paraId="373606D9" w14:textId="77777777" w:rsidR="00B16CEA" w:rsidRPr="00B16CEA" w:rsidRDefault="00B16CEA" w:rsidP="007A02A5">
      <w:pPr>
        <w:spacing w:after="0" w:line="240" w:lineRule="auto"/>
        <w:jc w:val="both"/>
        <w:rPr>
          <w:rFonts w:ascii="Arial" w:hAnsi="Arial" w:cs="Arial"/>
          <w:b/>
          <w:sz w:val="24"/>
          <w:szCs w:val="24"/>
        </w:rPr>
      </w:pPr>
      <w:r w:rsidRPr="00B16CEA">
        <w:rPr>
          <w:rFonts w:ascii="Arial" w:hAnsi="Arial" w:cs="Arial"/>
          <w:sz w:val="24"/>
          <w:szCs w:val="24"/>
        </w:rPr>
        <w:t xml:space="preserve">In addition to the group of health care interventions that the CCG will not commission as a matter of routine, the CCG </w:t>
      </w:r>
      <w:r w:rsidRPr="00B16CEA">
        <w:rPr>
          <w:rFonts w:ascii="Arial" w:hAnsi="Arial" w:cs="Arial"/>
          <w:b/>
          <w:sz w:val="24"/>
          <w:szCs w:val="24"/>
        </w:rPr>
        <w:t>generally:</w:t>
      </w:r>
    </w:p>
    <w:p w14:paraId="2EB17871" w14:textId="77777777" w:rsidR="00B16CEA" w:rsidRPr="00B16CEA" w:rsidRDefault="00B16CEA" w:rsidP="00F7401C">
      <w:pPr>
        <w:spacing w:after="0" w:line="120" w:lineRule="auto"/>
        <w:rPr>
          <w:rFonts w:ascii="Arial" w:hAnsi="Arial" w:cs="Arial"/>
          <w:b/>
          <w:sz w:val="24"/>
          <w:szCs w:val="24"/>
        </w:rPr>
      </w:pPr>
    </w:p>
    <w:p w14:paraId="69665712" w14:textId="77777777" w:rsidR="00B16CEA" w:rsidRPr="00E11A64" w:rsidRDefault="00B16CEA" w:rsidP="007A02A5">
      <w:pPr>
        <w:pStyle w:val="ListParagraph"/>
        <w:numPr>
          <w:ilvl w:val="0"/>
          <w:numId w:val="6"/>
        </w:numPr>
        <w:jc w:val="both"/>
        <w:rPr>
          <w:rFonts w:ascii="Arial" w:hAnsi="Arial" w:cs="Arial"/>
          <w:sz w:val="24"/>
          <w:szCs w:val="24"/>
        </w:rPr>
      </w:pPr>
      <w:r w:rsidRPr="00E11A64">
        <w:rPr>
          <w:rFonts w:ascii="Arial" w:hAnsi="Arial" w:cs="Arial"/>
          <w:sz w:val="24"/>
          <w:szCs w:val="24"/>
        </w:rPr>
        <w:t>Will not commission the use of new surgical techniques until the Safety Efficacy Register of New Interventional Procedures (SERNIP) now run by the National Institute of Health and Clinical Excellence (NICR), has awarded category A or B status, unless the technique is part of a randomised controlled trial (RCT)</w:t>
      </w:r>
    </w:p>
    <w:p w14:paraId="16274D72" w14:textId="77777777" w:rsidR="00B16CEA" w:rsidRPr="00E11A64" w:rsidRDefault="00B16CEA" w:rsidP="007A02A5">
      <w:pPr>
        <w:pStyle w:val="ListParagraph"/>
        <w:numPr>
          <w:ilvl w:val="0"/>
          <w:numId w:val="6"/>
        </w:numPr>
        <w:jc w:val="both"/>
        <w:rPr>
          <w:rFonts w:ascii="Arial" w:hAnsi="Arial" w:cs="Arial"/>
          <w:sz w:val="24"/>
          <w:szCs w:val="24"/>
        </w:rPr>
      </w:pPr>
      <w:r w:rsidRPr="00E11A64">
        <w:rPr>
          <w:rFonts w:ascii="Arial" w:hAnsi="Arial" w:cs="Arial"/>
          <w:sz w:val="24"/>
          <w:szCs w:val="24"/>
        </w:rPr>
        <w:t>Will only implement screening programmes approved by the National Screening Committee</w:t>
      </w:r>
    </w:p>
    <w:p w14:paraId="7CD2C436" w14:textId="77777777" w:rsidR="00B16CEA" w:rsidRPr="00E11A64" w:rsidRDefault="00B16CEA" w:rsidP="007A02A5">
      <w:pPr>
        <w:pStyle w:val="ListParagraph"/>
        <w:numPr>
          <w:ilvl w:val="0"/>
          <w:numId w:val="6"/>
        </w:numPr>
        <w:jc w:val="both"/>
        <w:rPr>
          <w:rFonts w:ascii="Arial" w:hAnsi="Arial" w:cs="Arial"/>
          <w:sz w:val="24"/>
          <w:szCs w:val="24"/>
        </w:rPr>
      </w:pPr>
      <w:r w:rsidRPr="00E11A64">
        <w:rPr>
          <w:rFonts w:ascii="Arial" w:hAnsi="Arial" w:cs="Arial"/>
          <w:sz w:val="24"/>
          <w:szCs w:val="24"/>
        </w:rPr>
        <w:t xml:space="preserve">Will follow agreed national policy from NHS England on the continuation of treatment at the end of clinical </w:t>
      </w:r>
      <w:proofErr w:type="gramStart"/>
      <w:r w:rsidRPr="00E11A64">
        <w:rPr>
          <w:rFonts w:ascii="Arial" w:hAnsi="Arial" w:cs="Arial"/>
          <w:sz w:val="24"/>
          <w:szCs w:val="24"/>
        </w:rPr>
        <w:t>trials</w:t>
      </w:r>
      <w:proofErr w:type="gramEnd"/>
    </w:p>
    <w:p w14:paraId="3CBE357E" w14:textId="77777777" w:rsidR="00B16CEA" w:rsidRPr="00E11A64" w:rsidRDefault="00B16CEA" w:rsidP="007A02A5">
      <w:pPr>
        <w:pStyle w:val="ListParagraph"/>
        <w:numPr>
          <w:ilvl w:val="0"/>
          <w:numId w:val="6"/>
        </w:numPr>
        <w:jc w:val="both"/>
        <w:rPr>
          <w:rFonts w:ascii="Arial" w:hAnsi="Arial" w:cs="Arial"/>
          <w:sz w:val="24"/>
          <w:szCs w:val="24"/>
        </w:rPr>
      </w:pPr>
      <w:r w:rsidRPr="00E11A64">
        <w:rPr>
          <w:rFonts w:ascii="Arial" w:hAnsi="Arial" w:cs="Arial"/>
          <w:sz w:val="24"/>
          <w:szCs w:val="24"/>
        </w:rPr>
        <w:t>Will follow national guidance in respect of co-payments.</w:t>
      </w:r>
    </w:p>
    <w:p w14:paraId="1017CA37" w14:textId="77777777" w:rsidR="00B16CEA" w:rsidRPr="00B16CEA" w:rsidRDefault="001F4CA4" w:rsidP="00B16CEA">
      <w:pPr>
        <w:spacing w:after="0" w:line="240" w:lineRule="auto"/>
        <w:rPr>
          <w:rFonts w:ascii="Arial" w:hAnsi="Arial" w:cs="Arial"/>
          <w:b/>
          <w:sz w:val="24"/>
          <w:szCs w:val="24"/>
          <w:u w:val="single"/>
        </w:rPr>
      </w:pPr>
      <w:r>
        <w:rPr>
          <w:rFonts w:ascii="Arial" w:hAnsi="Arial" w:cs="Arial"/>
          <w:b/>
          <w:sz w:val="24"/>
          <w:szCs w:val="24"/>
          <w:u w:val="single"/>
        </w:rPr>
        <w:lastRenderedPageBreak/>
        <w:t>Part B</w:t>
      </w:r>
    </w:p>
    <w:p w14:paraId="7BB55480" w14:textId="77777777" w:rsidR="00B16CEA" w:rsidRPr="001F4CA4" w:rsidRDefault="00A8357C" w:rsidP="00B16CEA">
      <w:pPr>
        <w:spacing w:after="0" w:line="240" w:lineRule="auto"/>
        <w:jc w:val="center"/>
        <w:rPr>
          <w:rFonts w:ascii="Arial" w:hAnsi="Arial" w:cs="Arial"/>
          <w:b/>
          <w:sz w:val="28"/>
          <w:szCs w:val="28"/>
        </w:rPr>
      </w:pPr>
      <w:r w:rsidRPr="001F4CA4">
        <w:rPr>
          <w:rFonts w:ascii="Arial" w:hAnsi="Arial" w:cs="Arial"/>
          <w:b/>
          <w:sz w:val="28"/>
          <w:szCs w:val="28"/>
        </w:rPr>
        <w:t>NORTH EAST LINCOLNSHIRE</w:t>
      </w:r>
      <w:r w:rsidR="00B16CEA" w:rsidRPr="001F4CA4">
        <w:rPr>
          <w:rFonts w:ascii="Arial" w:hAnsi="Arial" w:cs="Arial"/>
          <w:b/>
          <w:sz w:val="28"/>
          <w:szCs w:val="28"/>
        </w:rPr>
        <w:t xml:space="preserve"> CCG</w:t>
      </w:r>
    </w:p>
    <w:p w14:paraId="7677BF5D" w14:textId="77777777" w:rsidR="008D5BE4" w:rsidRPr="001F4CA4" w:rsidRDefault="00B16CEA" w:rsidP="008D5BE4">
      <w:pPr>
        <w:spacing w:after="0" w:line="240" w:lineRule="auto"/>
        <w:jc w:val="center"/>
        <w:rPr>
          <w:rFonts w:ascii="Arial" w:hAnsi="Arial" w:cs="Arial"/>
          <w:b/>
          <w:sz w:val="28"/>
          <w:szCs w:val="28"/>
        </w:rPr>
      </w:pPr>
      <w:r w:rsidRPr="001F4CA4">
        <w:rPr>
          <w:rFonts w:ascii="Arial" w:hAnsi="Arial" w:cs="Arial"/>
          <w:b/>
          <w:sz w:val="28"/>
          <w:szCs w:val="28"/>
        </w:rPr>
        <w:t>I</w:t>
      </w:r>
      <w:r w:rsidR="008D5BE4" w:rsidRPr="001F4CA4">
        <w:rPr>
          <w:rFonts w:ascii="Arial" w:hAnsi="Arial" w:cs="Arial"/>
          <w:b/>
          <w:sz w:val="28"/>
          <w:szCs w:val="28"/>
        </w:rPr>
        <w:t>NDIVIDUAL FUNDING REQUEST PANEL</w:t>
      </w:r>
    </w:p>
    <w:p w14:paraId="6AF53F34" w14:textId="77777777" w:rsidR="008D5BE4" w:rsidRPr="008D5BE4" w:rsidRDefault="008D5BE4" w:rsidP="008D5BE4">
      <w:pPr>
        <w:spacing w:after="0" w:line="240" w:lineRule="auto"/>
        <w:jc w:val="center"/>
        <w:rPr>
          <w:rFonts w:ascii="Arial" w:hAnsi="Arial" w:cs="Arial"/>
          <w:b/>
          <w:sz w:val="28"/>
          <w:szCs w:val="28"/>
        </w:rPr>
      </w:pPr>
    </w:p>
    <w:p w14:paraId="5D86A7CC" w14:textId="77777777" w:rsidR="008D5BE4" w:rsidRPr="008D5BE4" w:rsidRDefault="008D5BE4" w:rsidP="008D5BE4">
      <w:pPr>
        <w:jc w:val="both"/>
        <w:rPr>
          <w:rFonts w:ascii="Arial" w:eastAsia="Calibri" w:hAnsi="Arial" w:cs="Arial"/>
          <w:b/>
          <w:color w:val="548DD4" w:themeColor="text2" w:themeTint="99"/>
          <w:sz w:val="24"/>
          <w:szCs w:val="24"/>
        </w:rPr>
      </w:pPr>
      <w:r w:rsidRPr="005156DE">
        <w:rPr>
          <w:rFonts w:ascii="Arial" w:eastAsia="Calibri" w:hAnsi="Arial" w:cs="Arial"/>
          <w:b/>
          <w:color w:val="0070C0"/>
          <w:sz w:val="24"/>
          <w:szCs w:val="24"/>
        </w:rPr>
        <w:t>1</w:t>
      </w:r>
      <w:r w:rsidRPr="005156DE">
        <w:rPr>
          <w:rFonts w:ascii="Arial" w:eastAsia="Calibri" w:hAnsi="Arial" w:cs="Arial"/>
          <w:b/>
          <w:color w:val="0070C0"/>
          <w:sz w:val="24"/>
          <w:szCs w:val="24"/>
        </w:rPr>
        <w:tab/>
        <w:t>PURPOSE</w:t>
      </w:r>
    </w:p>
    <w:p w14:paraId="11E02B55"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1.1</w:t>
      </w:r>
      <w:r w:rsidRPr="008D5BE4">
        <w:rPr>
          <w:rFonts w:ascii="Arial" w:eastAsia="Calibri" w:hAnsi="Arial" w:cs="Arial"/>
          <w:sz w:val="24"/>
          <w:szCs w:val="24"/>
        </w:rPr>
        <w:tab/>
        <w:t>This standard operating procedure (SOP) aims to set out the process for the management of treatment requests received which fall outside of services the CCG routinely commission. This process only covers requests where CCGs have a responsibility to make a funding decision based on what they are responsible to commission; other commissioning organisations such as the NHS England are expected to have their own IFR processes and procedures in place.</w:t>
      </w:r>
    </w:p>
    <w:p w14:paraId="5FEB16C5"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1.2</w:t>
      </w:r>
      <w:r w:rsidRPr="008D5BE4">
        <w:rPr>
          <w:rFonts w:ascii="Arial" w:eastAsia="Calibri" w:hAnsi="Arial" w:cs="Arial"/>
          <w:sz w:val="24"/>
          <w:szCs w:val="24"/>
        </w:rPr>
        <w:tab/>
        <w:t>This SOP covers the management process for all funding requests received by CCGs. Requests for treatment overseas now sits separately with NHS England. This process is based on the Department of Health’s Article 56 guidance.</w:t>
      </w:r>
    </w:p>
    <w:p w14:paraId="58D57AED" w14:textId="77777777" w:rsidR="008D5BE4" w:rsidRPr="008D5BE4" w:rsidRDefault="008D5BE4" w:rsidP="008D5BE4">
      <w:pPr>
        <w:ind w:left="720" w:hanging="720"/>
        <w:jc w:val="both"/>
        <w:rPr>
          <w:rFonts w:ascii="Arial" w:eastAsia="Calibri" w:hAnsi="Arial" w:cs="Arial"/>
          <w:strike/>
          <w:color w:val="FF0000"/>
          <w:sz w:val="24"/>
          <w:szCs w:val="24"/>
        </w:rPr>
      </w:pPr>
      <w:r w:rsidRPr="008D5BE4">
        <w:rPr>
          <w:rFonts w:ascii="Arial" w:eastAsia="Calibri" w:hAnsi="Arial" w:cs="Arial"/>
          <w:sz w:val="24"/>
          <w:szCs w:val="24"/>
        </w:rPr>
        <w:t>1.3</w:t>
      </w:r>
      <w:r w:rsidRPr="008D5BE4">
        <w:rPr>
          <w:rFonts w:ascii="Arial" w:eastAsia="Calibri" w:hAnsi="Arial" w:cs="Arial"/>
          <w:sz w:val="24"/>
          <w:szCs w:val="24"/>
        </w:rPr>
        <w:tab/>
        <w:t xml:space="preserve">The SOP will outline the process for the management of non-contracted/non-commissioned treatment requests and treatment requests where a protocol or set of criteria must be met </w:t>
      </w:r>
      <w:proofErr w:type="gramStart"/>
      <w:r w:rsidRPr="008D5BE4">
        <w:rPr>
          <w:rFonts w:ascii="Arial" w:eastAsia="Calibri" w:hAnsi="Arial" w:cs="Arial"/>
          <w:sz w:val="24"/>
          <w:szCs w:val="24"/>
        </w:rPr>
        <w:t>in order to</w:t>
      </w:r>
      <w:proofErr w:type="gramEnd"/>
      <w:r w:rsidRPr="008D5BE4">
        <w:rPr>
          <w:rFonts w:ascii="Arial" w:eastAsia="Calibri" w:hAnsi="Arial" w:cs="Arial"/>
          <w:sz w:val="24"/>
          <w:szCs w:val="24"/>
        </w:rPr>
        <w:t xml:space="preserve"> access the said service. It will therefore refer to referring documents such as the Value Based Clinical Commissioning Policy. </w:t>
      </w:r>
    </w:p>
    <w:p w14:paraId="10D9BD80"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1.4</w:t>
      </w:r>
      <w:r w:rsidRPr="008D5BE4">
        <w:rPr>
          <w:rFonts w:ascii="Arial" w:eastAsia="Calibri" w:hAnsi="Arial" w:cs="Arial"/>
          <w:sz w:val="24"/>
          <w:szCs w:val="24"/>
        </w:rPr>
        <w:tab/>
        <w:t xml:space="preserve">The SOP will outline the process for the management of treatment requests via the Individual Funding Request Panel (IFRP) and the associated </w:t>
      </w:r>
      <w:proofErr w:type="gramStart"/>
      <w:r w:rsidRPr="008D5BE4">
        <w:rPr>
          <w:rFonts w:ascii="Arial" w:eastAsia="Calibri" w:hAnsi="Arial" w:cs="Arial"/>
          <w:sz w:val="24"/>
          <w:szCs w:val="24"/>
        </w:rPr>
        <w:t>decision making</w:t>
      </w:r>
      <w:proofErr w:type="gramEnd"/>
      <w:r w:rsidRPr="008D5BE4">
        <w:rPr>
          <w:rFonts w:ascii="Arial" w:eastAsia="Calibri" w:hAnsi="Arial" w:cs="Arial"/>
          <w:sz w:val="24"/>
          <w:szCs w:val="24"/>
        </w:rPr>
        <w:t xml:space="preserve"> process.</w:t>
      </w:r>
    </w:p>
    <w:p w14:paraId="0C47A474" w14:textId="77777777" w:rsidR="008D5BE4" w:rsidRPr="008D5BE4" w:rsidRDefault="008D5BE4" w:rsidP="008D5BE4">
      <w:pPr>
        <w:jc w:val="both"/>
        <w:rPr>
          <w:rFonts w:ascii="Arial" w:eastAsia="Calibri" w:hAnsi="Arial" w:cs="Arial"/>
          <w:sz w:val="24"/>
          <w:szCs w:val="24"/>
        </w:rPr>
      </w:pPr>
      <w:r w:rsidRPr="008D5BE4">
        <w:rPr>
          <w:rFonts w:ascii="Arial" w:eastAsia="Calibri" w:hAnsi="Arial" w:cs="Arial"/>
          <w:sz w:val="24"/>
          <w:szCs w:val="24"/>
        </w:rPr>
        <w:t>1.5</w:t>
      </w:r>
      <w:r w:rsidRPr="008D5BE4">
        <w:rPr>
          <w:rFonts w:ascii="Arial" w:eastAsia="Calibri" w:hAnsi="Arial" w:cs="Arial"/>
          <w:sz w:val="24"/>
          <w:szCs w:val="24"/>
        </w:rPr>
        <w:tab/>
        <w:t>The CCG covered by this documented SOP are as follows:</w:t>
      </w:r>
    </w:p>
    <w:p w14:paraId="337CBE86" w14:textId="77777777" w:rsidR="008D5BE4" w:rsidRPr="008D5BE4" w:rsidRDefault="008D5BE4" w:rsidP="008D5BE4">
      <w:pPr>
        <w:jc w:val="both"/>
        <w:rPr>
          <w:rFonts w:ascii="Arial" w:eastAsia="Calibri" w:hAnsi="Arial" w:cs="Arial"/>
          <w:sz w:val="24"/>
          <w:szCs w:val="24"/>
        </w:rPr>
      </w:pPr>
      <w:r w:rsidRPr="008D5BE4">
        <w:rPr>
          <w:rFonts w:ascii="Arial" w:eastAsia="Calibri" w:hAnsi="Arial" w:cs="Arial"/>
          <w:sz w:val="24"/>
          <w:szCs w:val="24"/>
        </w:rPr>
        <w:tab/>
      </w:r>
      <w:r>
        <w:rPr>
          <w:rFonts w:ascii="Arial" w:eastAsia="Calibri" w:hAnsi="Arial" w:cs="Arial"/>
          <w:sz w:val="24"/>
          <w:szCs w:val="24"/>
        </w:rPr>
        <w:t>North East Lincolnshire</w:t>
      </w:r>
      <w:r w:rsidRPr="008D5BE4">
        <w:rPr>
          <w:rFonts w:ascii="Arial" w:eastAsia="Calibri" w:hAnsi="Arial" w:cs="Arial"/>
          <w:sz w:val="24"/>
          <w:szCs w:val="24"/>
        </w:rPr>
        <w:t xml:space="preserve"> CCG</w:t>
      </w:r>
    </w:p>
    <w:p w14:paraId="53A5DFFD" w14:textId="77777777" w:rsidR="008D5BE4" w:rsidRPr="008D5BE4" w:rsidRDefault="008D5BE4" w:rsidP="008D5BE4">
      <w:pPr>
        <w:ind w:left="720" w:hanging="720"/>
        <w:jc w:val="both"/>
        <w:rPr>
          <w:rFonts w:ascii="Arial" w:eastAsia="Calibri" w:hAnsi="Arial" w:cs="Arial"/>
          <w:b/>
          <w:color w:val="548DD4" w:themeColor="text2" w:themeTint="99"/>
          <w:sz w:val="24"/>
          <w:szCs w:val="24"/>
        </w:rPr>
      </w:pPr>
      <w:r w:rsidRPr="005156DE">
        <w:rPr>
          <w:rFonts w:ascii="Arial" w:eastAsia="Calibri" w:hAnsi="Arial" w:cs="Arial"/>
          <w:b/>
          <w:color w:val="0070C0"/>
          <w:sz w:val="24"/>
          <w:szCs w:val="24"/>
        </w:rPr>
        <w:t>2</w:t>
      </w:r>
      <w:r w:rsidRPr="005156DE">
        <w:rPr>
          <w:rFonts w:ascii="Arial" w:eastAsia="Calibri" w:hAnsi="Arial" w:cs="Arial"/>
          <w:b/>
          <w:color w:val="0070C0"/>
          <w:sz w:val="24"/>
          <w:szCs w:val="24"/>
        </w:rPr>
        <w:tab/>
        <w:t>DEFINITIONS</w:t>
      </w:r>
    </w:p>
    <w:p w14:paraId="1D8EC76D"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2.1</w:t>
      </w:r>
      <w:r w:rsidRPr="008D5BE4">
        <w:rPr>
          <w:rFonts w:ascii="Arial" w:eastAsia="Calibri" w:hAnsi="Arial" w:cs="Arial"/>
          <w:sz w:val="24"/>
          <w:szCs w:val="24"/>
        </w:rPr>
        <w:tab/>
        <w:t xml:space="preserve">For the purpose of requests managed via the IFRP, </w:t>
      </w:r>
      <w:r w:rsidRPr="008D5BE4">
        <w:rPr>
          <w:rFonts w:ascii="Arial" w:eastAsia="Calibri" w:hAnsi="Arial" w:cs="Arial"/>
          <w:b/>
          <w:sz w:val="24"/>
          <w:szCs w:val="24"/>
        </w:rPr>
        <w:t>exceptionality</w:t>
      </w:r>
      <w:r w:rsidRPr="008D5BE4">
        <w:rPr>
          <w:rFonts w:ascii="Arial" w:eastAsia="Calibri" w:hAnsi="Arial" w:cs="Arial"/>
          <w:sz w:val="24"/>
          <w:szCs w:val="24"/>
        </w:rPr>
        <w:t xml:space="preserve"> is defined as:</w:t>
      </w:r>
    </w:p>
    <w:p w14:paraId="09856443" w14:textId="77777777" w:rsidR="008D5BE4" w:rsidRPr="008D5BE4" w:rsidRDefault="008D5BE4" w:rsidP="008D5BE4">
      <w:pPr>
        <w:ind w:left="720"/>
        <w:jc w:val="both"/>
        <w:rPr>
          <w:rFonts w:ascii="Arial" w:eastAsia="Calibri" w:hAnsi="Arial" w:cs="Arial"/>
          <w:i/>
          <w:sz w:val="24"/>
          <w:szCs w:val="24"/>
        </w:rPr>
      </w:pPr>
      <w:r w:rsidRPr="008D5BE4">
        <w:rPr>
          <w:rFonts w:ascii="Arial" w:eastAsia="Calibri" w:hAnsi="Arial" w:cs="Arial"/>
          <w:i/>
          <w:sz w:val="24"/>
          <w:szCs w:val="24"/>
        </w:rPr>
        <w:t xml:space="preserve">‘The patient or their circumstances are significantly different to the general population of patients with the condition in question. The patient is likely to gain significantly more benefit from the intervention than might normally be expected for patients with that </w:t>
      </w:r>
      <w:proofErr w:type="gramStart"/>
      <w:r w:rsidRPr="008D5BE4">
        <w:rPr>
          <w:rFonts w:ascii="Arial" w:eastAsia="Calibri" w:hAnsi="Arial" w:cs="Arial"/>
          <w:i/>
          <w:sz w:val="24"/>
          <w:szCs w:val="24"/>
        </w:rPr>
        <w:t>condition’</w:t>
      </w:r>
      <w:proofErr w:type="gramEnd"/>
    </w:p>
    <w:p w14:paraId="5D6412A3"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2.2</w:t>
      </w:r>
      <w:r w:rsidRPr="008D5BE4">
        <w:rPr>
          <w:rFonts w:ascii="Arial" w:eastAsia="Calibri" w:hAnsi="Arial" w:cs="Arial"/>
          <w:sz w:val="24"/>
          <w:szCs w:val="24"/>
        </w:rPr>
        <w:tab/>
      </w:r>
      <w:r w:rsidRPr="008D5BE4">
        <w:rPr>
          <w:rFonts w:ascii="Arial" w:eastAsia="Calibri" w:hAnsi="Arial" w:cs="Arial"/>
          <w:b/>
          <w:sz w:val="24"/>
          <w:szCs w:val="24"/>
        </w:rPr>
        <w:t>Provider</w:t>
      </w:r>
      <w:r w:rsidRPr="008D5BE4">
        <w:rPr>
          <w:rFonts w:ascii="Arial" w:eastAsia="Calibri" w:hAnsi="Arial" w:cs="Arial"/>
          <w:sz w:val="24"/>
          <w:szCs w:val="24"/>
        </w:rPr>
        <w:t>: The healthcare service provider which will or is proposing to undertake the treatment/procedure.</w:t>
      </w:r>
    </w:p>
    <w:p w14:paraId="632BEF2C"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2.3</w:t>
      </w:r>
      <w:r w:rsidRPr="008D5BE4">
        <w:rPr>
          <w:rFonts w:ascii="Arial" w:eastAsia="Calibri" w:hAnsi="Arial" w:cs="Arial"/>
          <w:b/>
          <w:sz w:val="24"/>
          <w:szCs w:val="24"/>
        </w:rPr>
        <w:tab/>
        <w:t>Referring Clinician</w:t>
      </w:r>
      <w:r w:rsidRPr="008D5BE4">
        <w:rPr>
          <w:rFonts w:ascii="Arial" w:eastAsia="Calibri" w:hAnsi="Arial" w:cs="Arial"/>
          <w:sz w:val="24"/>
          <w:szCs w:val="24"/>
        </w:rPr>
        <w:t>: The clinician making the request for the treatment/procedure. This is usually the patient’s GP or the secondary care clinician proposing to undertake the treatment/procedure.</w:t>
      </w:r>
    </w:p>
    <w:p w14:paraId="278363C5"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2.4</w:t>
      </w:r>
      <w:r w:rsidRPr="008D5BE4">
        <w:rPr>
          <w:rFonts w:ascii="Arial" w:eastAsia="Calibri" w:hAnsi="Arial" w:cs="Arial"/>
          <w:sz w:val="24"/>
          <w:szCs w:val="24"/>
        </w:rPr>
        <w:tab/>
      </w:r>
      <w:r w:rsidRPr="008D5BE4">
        <w:rPr>
          <w:rFonts w:ascii="Arial" w:eastAsia="Calibri" w:hAnsi="Arial" w:cs="Arial"/>
          <w:b/>
          <w:sz w:val="24"/>
          <w:szCs w:val="24"/>
        </w:rPr>
        <w:t>Eligibility</w:t>
      </w:r>
      <w:r w:rsidRPr="008D5BE4">
        <w:rPr>
          <w:rFonts w:ascii="Arial" w:eastAsia="Calibri" w:hAnsi="Arial" w:cs="Arial"/>
          <w:sz w:val="24"/>
          <w:szCs w:val="24"/>
        </w:rPr>
        <w:t xml:space="preserve">: The patient’s ability to meet the protocol/criteria for the treatment/procedure at the time of application against the protocol in place at that time of request. Where cases are assessed by the healthcare provider directly following GP referral, their eligibility is classed as the patient’s ability to meet the protocol at the time of the treatment being carried out/the patient listed for surgery. </w:t>
      </w:r>
    </w:p>
    <w:p w14:paraId="76974EE9"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lastRenderedPageBreak/>
        <w:t>2.5</w:t>
      </w:r>
      <w:r w:rsidRPr="008D5BE4">
        <w:rPr>
          <w:rFonts w:ascii="Arial" w:eastAsia="Calibri" w:hAnsi="Arial" w:cs="Arial"/>
          <w:sz w:val="24"/>
          <w:szCs w:val="24"/>
        </w:rPr>
        <w:tab/>
      </w:r>
      <w:r w:rsidRPr="008D5BE4">
        <w:rPr>
          <w:rFonts w:ascii="Arial" w:eastAsia="Calibri" w:hAnsi="Arial" w:cs="Arial"/>
          <w:b/>
          <w:sz w:val="24"/>
          <w:szCs w:val="24"/>
        </w:rPr>
        <w:t>Clinical Advisors</w:t>
      </w:r>
      <w:r w:rsidRPr="008D5BE4">
        <w:rPr>
          <w:rFonts w:ascii="Arial" w:eastAsia="Calibri" w:hAnsi="Arial" w:cs="Arial"/>
          <w:sz w:val="24"/>
          <w:szCs w:val="24"/>
        </w:rPr>
        <w:t xml:space="preserve">: A nominated advisor of the respective CCG areas. The clinical advisor provides additional support where necessary. </w:t>
      </w:r>
    </w:p>
    <w:p w14:paraId="25BB3263"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2.6</w:t>
      </w:r>
      <w:r w:rsidRPr="008D5BE4">
        <w:rPr>
          <w:rFonts w:ascii="Arial" w:eastAsia="Calibri" w:hAnsi="Arial" w:cs="Arial"/>
          <w:sz w:val="24"/>
          <w:szCs w:val="24"/>
        </w:rPr>
        <w:tab/>
      </w:r>
      <w:r w:rsidRPr="008D5BE4">
        <w:rPr>
          <w:rFonts w:ascii="Arial" w:eastAsia="Calibri" w:hAnsi="Arial" w:cs="Arial"/>
          <w:b/>
          <w:sz w:val="24"/>
          <w:szCs w:val="24"/>
        </w:rPr>
        <w:t>NECS IFR Team</w:t>
      </w:r>
      <w:r w:rsidRPr="008D5BE4">
        <w:rPr>
          <w:rFonts w:ascii="Arial" w:eastAsia="Calibri" w:hAnsi="Arial" w:cs="Arial"/>
          <w:sz w:val="24"/>
          <w:szCs w:val="24"/>
        </w:rPr>
        <w:t>: The administrator, employed by NECS, who will manage the day to day running and administration of the IFR and carry out the duties as outlined in this SOP for their respective CCG areas.</w:t>
      </w:r>
    </w:p>
    <w:p w14:paraId="1988CF9E"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2.7</w:t>
      </w:r>
      <w:r w:rsidRPr="008D5BE4">
        <w:rPr>
          <w:rFonts w:ascii="Arial" w:eastAsia="Calibri" w:hAnsi="Arial" w:cs="Arial"/>
          <w:sz w:val="24"/>
          <w:szCs w:val="24"/>
        </w:rPr>
        <w:tab/>
      </w:r>
      <w:r w:rsidRPr="008D5BE4">
        <w:rPr>
          <w:rFonts w:ascii="Arial" w:eastAsia="Calibri" w:hAnsi="Arial" w:cs="Arial"/>
          <w:b/>
          <w:sz w:val="24"/>
          <w:szCs w:val="24"/>
        </w:rPr>
        <w:t>Clinical Triage Support Officer</w:t>
      </w:r>
      <w:r w:rsidRPr="008D5BE4">
        <w:rPr>
          <w:rFonts w:ascii="Arial" w:eastAsia="Calibri" w:hAnsi="Arial" w:cs="Arial"/>
          <w:sz w:val="24"/>
          <w:szCs w:val="24"/>
        </w:rPr>
        <w:t xml:space="preserve">: A clinical healthcare professional who triages the request against CCG policy.  </w:t>
      </w:r>
    </w:p>
    <w:p w14:paraId="30919719"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2.8</w:t>
      </w:r>
      <w:r w:rsidRPr="008D5BE4">
        <w:rPr>
          <w:rFonts w:ascii="Arial" w:eastAsia="Calibri" w:hAnsi="Arial" w:cs="Arial"/>
          <w:sz w:val="24"/>
          <w:szCs w:val="24"/>
        </w:rPr>
        <w:tab/>
      </w:r>
      <w:r w:rsidR="00721A20">
        <w:rPr>
          <w:rFonts w:ascii="Arial" w:eastAsia="Calibri" w:hAnsi="Arial" w:cs="Arial"/>
          <w:b/>
          <w:sz w:val="24"/>
          <w:szCs w:val="24"/>
        </w:rPr>
        <w:t>Commissioning Statements</w:t>
      </w:r>
      <w:r w:rsidRPr="008D5BE4">
        <w:rPr>
          <w:rFonts w:ascii="Arial" w:eastAsia="Calibri" w:hAnsi="Arial" w:cs="Arial"/>
          <w:sz w:val="24"/>
          <w:szCs w:val="24"/>
        </w:rPr>
        <w:t xml:space="preserve">: Documents which outline a set of criteria that must be met </w:t>
      </w:r>
      <w:proofErr w:type="gramStart"/>
      <w:r w:rsidRPr="008D5BE4">
        <w:rPr>
          <w:rFonts w:ascii="Arial" w:eastAsia="Calibri" w:hAnsi="Arial" w:cs="Arial"/>
          <w:sz w:val="24"/>
          <w:szCs w:val="24"/>
        </w:rPr>
        <w:t>in order for</w:t>
      </w:r>
      <w:proofErr w:type="gramEnd"/>
      <w:r w:rsidRPr="008D5BE4">
        <w:rPr>
          <w:rFonts w:ascii="Arial" w:eastAsia="Calibri" w:hAnsi="Arial" w:cs="Arial"/>
          <w:sz w:val="24"/>
          <w:szCs w:val="24"/>
        </w:rPr>
        <w:t xml:space="preserve"> a treatment/procedure to be provided.</w:t>
      </w:r>
    </w:p>
    <w:p w14:paraId="5C5E647C"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2.9</w:t>
      </w:r>
      <w:r w:rsidRPr="008D5BE4">
        <w:rPr>
          <w:rFonts w:ascii="Arial" w:eastAsia="Calibri" w:hAnsi="Arial" w:cs="Arial"/>
          <w:sz w:val="24"/>
          <w:szCs w:val="24"/>
        </w:rPr>
        <w:tab/>
      </w:r>
      <w:r w:rsidRPr="008D5BE4">
        <w:rPr>
          <w:rFonts w:ascii="Arial" w:eastAsia="Calibri" w:hAnsi="Arial" w:cs="Arial"/>
          <w:b/>
          <w:sz w:val="24"/>
          <w:szCs w:val="24"/>
        </w:rPr>
        <w:t>Standard requests</w:t>
      </w:r>
      <w:r w:rsidRPr="008D5BE4">
        <w:rPr>
          <w:rFonts w:ascii="Arial" w:eastAsia="Calibri" w:hAnsi="Arial" w:cs="Arial"/>
          <w:sz w:val="24"/>
          <w:szCs w:val="24"/>
        </w:rPr>
        <w:t>: A standard funding request is a request for a non-urgent clinical intervention for which a CCG funding decision will usually be provided within 40 working days of receipt of the request where all relevant information required is available.</w:t>
      </w:r>
    </w:p>
    <w:p w14:paraId="2C41D10D"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2.10</w:t>
      </w:r>
      <w:r w:rsidRPr="008D5BE4">
        <w:rPr>
          <w:rFonts w:ascii="Arial" w:eastAsia="Calibri" w:hAnsi="Arial" w:cs="Arial"/>
          <w:sz w:val="24"/>
          <w:szCs w:val="24"/>
        </w:rPr>
        <w:tab/>
      </w:r>
      <w:r w:rsidRPr="008D5BE4">
        <w:rPr>
          <w:rFonts w:ascii="Arial" w:eastAsia="Calibri" w:hAnsi="Arial" w:cs="Arial"/>
          <w:b/>
          <w:sz w:val="24"/>
          <w:szCs w:val="24"/>
        </w:rPr>
        <w:t>Urgent requests</w:t>
      </w:r>
      <w:r w:rsidRPr="008D5BE4">
        <w:rPr>
          <w:rFonts w:ascii="Arial" w:eastAsia="Calibri" w:hAnsi="Arial" w:cs="Arial"/>
          <w:sz w:val="24"/>
          <w:szCs w:val="24"/>
        </w:rPr>
        <w:t xml:space="preserve">: An urgent request is a </w:t>
      </w:r>
      <w:proofErr w:type="gramStart"/>
      <w:r w:rsidRPr="008D5BE4">
        <w:rPr>
          <w:rFonts w:ascii="Arial" w:eastAsia="Calibri" w:hAnsi="Arial" w:cs="Arial"/>
          <w:sz w:val="24"/>
          <w:szCs w:val="24"/>
        </w:rPr>
        <w:t>life threatening</w:t>
      </w:r>
      <w:proofErr w:type="gramEnd"/>
      <w:r w:rsidRPr="008D5BE4">
        <w:rPr>
          <w:rFonts w:ascii="Arial" w:eastAsia="Calibri" w:hAnsi="Arial" w:cs="Arial"/>
          <w:sz w:val="24"/>
          <w:szCs w:val="24"/>
        </w:rPr>
        <w:t xml:space="preserve"> request which requires a decision to be made within 1 week of receipt.</w:t>
      </w:r>
    </w:p>
    <w:p w14:paraId="73FD97B1" w14:textId="77777777" w:rsidR="008D5BE4" w:rsidRPr="008D5BE4" w:rsidRDefault="008D5BE4" w:rsidP="008D5BE4">
      <w:pPr>
        <w:ind w:left="720" w:hanging="720"/>
        <w:jc w:val="both"/>
        <w:rPr>
          <w:rFonts w:ascii="Arial" w:eastAsia="Calibri" w:hAnsi="Arial" w:cs="Arial"/>
          <w:b/>
          <w:sz w:val="24"/>
          <w:szCs w:val="24"/>
        </w:rPr>
      </w:pPr>
      <w:r w:rsidRPr="008D5BE4">
        <w:rPr>
          <w:rFonts w:ascii="Arial" w:eastAsia="Calibri" w:hAnsi="Arial" w:cs="Arial"/>
          <w:sz w:val="24"/>
          <w:szCs w:val="24"/>
        </w:rPr>
        <w:t>2.11</w:t>
      </w:r>
      <w:r w:rsidRPr="008D5BE4">
        <w:rPr>
          <w:rFonts w:ascii="Arial" w:eastAsia="Calibri" w:hAnsi="Arial" w:cs="Arial"/>
          <w:sz w:val="24"/>
          <w:szCs w:val="24"/>
        </w:rPr>
        <w:tab/>
      </w:r>
      <w:r w:rsidRPr="008D5BE4">
        <w:rPr>
          <w:rFonts w:ascii="Arial" w:eastAsia="Calibri" w:hAnsi="Arial" w:cs="Arial"/>
          <w:b/>
          <w:sz w:val="24"/>
          <w:szCs w:val="24"/>
        </w:rPr>
        <w:t xml:space="preserve">Appeal: </w:t>
      </w:r>
      <w:r w:rsidRPr="008D5BE4">
        <w:rPr>
          <w:rFonts w:ascii="Arial" w:eastAsia="Calibri" w:hAnsi="Arial" w:cs="Arial"/>
          <w:sz w:val="24"/>
          <w:szCs w:val="24"/>
        </w:rPr>
        <w:t xml:space="preserve">Where the applicant does not feel that the </w:t>
      </w:r>
      <w:proofErr w:type="gramStart"/>
      <w:r w:rsidRPr="008D5BE4">
        <w:rPr>
          <w:rFonts w:ascii="Arial" w:eastAsia="Calibri" w:hAnsi="Arial" w:cs="Arial"/>
          <w:sz w:val="24"/>
          <w:szCs w:val="24"/>
        </w:rPr>
        <w:t>decision making</w:t>
      </w:r>
      <w:proofErr w:type="gramEnd"/>
      <w:r w:rsidRPr="008D5BE4">
        <w:rPr>
          <w:rFonts w:ascii="Arial" w:eastAsia="Calibri" w:hAnsi="Arial" w:cs="Arial"/>
          <w:sz w:val="24"/>
          <w:szCs w:val="24"/>
        </w:rPr>
        <w:t xml:space="preserve"> process has followed due process in considering an IFR application.</w:t>
      </w:r>
    </w:p>
    <w:p w14:paraId="62B15570" w14:textId="77777777" w:rsidR="008D5BE4" w:rsidRPr="008D5BE4" w:rsidRDefault="008D5BE4" w:rsidP="008D5BE4">
      <w:pPr>
        <w:ind w:left="720" w:hanging="720"/>
        <w:jc w:val="both"/>
        <w:rPr>
          <w:rFonts w:ascii="Arial" w:eastAsia="Calibri" w:hAnsi="Arial" w:cs="Arial"/>
          <w:b/>
          <w:color w:val="548DD4" w:themeColor="text2" w:themeTint="99"/>
          <w:sz w:val="24"/>
          <w:szCs w:val="24"/>
        </w:rPr>
      </w:pPr>
      <w:r w:rsidRPr="005156DE">
        <w:rPr>
          <w:rFonts w:ascii="Arial" w:eastAsia="Calibri" w:hAnsi="Arial" w:cs="Arial"/>
          <w:b/>
          <w:color w:val="0070C0"/>
          <w:sz w:val="24"/>
          <w:szCs w:val="24"/>
        </w:rPr>
        <w:t>3</w:t>
      </w:r>
      <w:r w:rsidRPr="005156DE">
        <w:rPr>
          <w:rFonts w:ascii="Arial" w:eastAsia="Calibri" w:hAnsi="Arial" w:cs="Arial"/>
          <w:b/>
          <w:color w:val="0070C0"/>
          <w:sz w:val="24"/>
          <w:szCs w:val="24"/>
        </w:rPr>
        <w:tab/>
        <w:t>SPECIALIST SERVICES REQUESTS</w:t>
      </w:r>
    </w:p>
    <w:p w14:paraId="48279882"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3.1</w:t>
      </w:r>
      <w:r w:rsidRPr="008D5BE4">
        <w:rPr>
          <w:rFonts w:ascii="Arial" w:eastAsia="Calibri" w:hAnsi="Arial" w:cs="Arial"/>
          <w:sz w:val="24"/>
          <w:szCs w:val="24"/>
        </w:rPr>
        <w:tab/>
        <w:t>The following are excluded from the IFR process outlined within the SOP:</w:t>
      </w:r>
    </w:p>
    <w:p w14:paraId="32127F81"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ab/>
        <w:t>- Funding requests for provision not commissioned by CCGs</w:t>
      </w:r>
    </w:p>
    <w:p w14:paraId="0AB24E42" w14:textId="77777777" w:rsidR="008D5BE4" w:rsidRPr="008D5BE4" w:rsidRDefault="008D5BE4" w:rsidP="000668E4">
      <w:pPr>
        <w:ind w:left="720" w:hanging="720"/>
        <w:jc w:val="both"/>
        <w:rPr>
          <w:rFonts w:ascii="Arial" w:eastAsia="Calibri" w:hAnsi="Arial" w:cs="Arial"/>
          <w:sz w:val="24"/>
          <w:szCs w:val="24"/>
        </w:rPr>
      </w:pPr>
      <w:r w:rsidRPr="008D5BE4">
        <w:rPr>
          <w:rFonts w:ascii="Arial" w:eastAsia="Calibri" w:hAnsi="Arial" w:cs="Arial"/>
          <w:sz w:val="24"/>
          <w:szCs w:val="24"/>
        </w:rPr>
        <w:tab/>
        <w:t>- Funding requests for</w:t>
      </w:r>
      <w:r w:rsidR="000668E4">
        <w:rPr>
          <w:rFonts w:ascii="Arial" w:eastAsia="Calibri" w:hAnsi="Arial" w:cs="Arial"/>
          <w:sz w:val="24"/>
          <w:szCs w:val="24"/>
        </w:rPr>
        <w:t xml:space="preserve"> children and vulnerable adults</w:t>
      </w:r>
    </w:p>
    <w:p w14:paraId="7570FE02" w14:textId="77777777" w:rsidR="008D5BE4" w:rsidRPr="008D5BE4" w:rsidRDefault="008D5BE4" w:rsidP="008D5BE4">
      <w:pPr>
        <w:jc w:val="both"/>
        <w:rPr>
          <w:rFonts w:ascii="Arial" w:eastAsia="Calibri" w:hAnsi="Arial" w:cs="Arial"/>
          <w:b/>
          <w:color w:val="548DD4" w:themeColor="text2" w:themeTint="99"/>
          <w:sz w:val="24"/>
          <w:szCs w:val="24"/>
        </w:rPr>
      </w:pPr>
      <w:r w:rsidRPr="005156DE">
        <w:rPr>
          <w:rFonts w:ascii="Arial" w:eastAsia="Calibri" w:hAnsi="Arial" w:cs="Arial"/>
          <w:b/>
          <w:color w:val="0070C0"/>
          <w:sz w:val="24"/>
          <w:szCs w:val="24"/>
        </w:rPr>
        <w:t>4</w:t>
      </w:r>
      <w:r w:rsidRPr="005156DE">
        <w:rPr>
          <w:rFonts w:ascii="Arial" w:eastAsia="Calibri" w:hAnsi="Arial" w:cs="Arial"/>
          <w:b/>
          <w:color w:val="0070C0"/>
          <w:sz w:val="24"/>
          <w:szCs w:val="24"/>
        </w:rPr>
        <w:tab/>
        <w:t>IFR DECISION MAKING PROCESS – STANDARD REQUESTS</w:t>
      </w:r>
    </w:p>
    <w:p w14:paraId="0ACD903C"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4.1</w:t>
      </w:r>
      <w:r w:rsidRPr="008D5BE4">
        <w:rPr>
          <w:rFonts w:ascii="Arial" w:eastAsia="Calibri" w:hAnsi="Arial" w:cs="Arial"/>
          <w:sz w:val="24"/>
          <w:szCs w:val="24"/>
        </w:rPr>
        <w:tab/>
        <w:t xml:space="preserve">All referring clinicians will make a referral for funding via </w:t>
      </w:r>
      <w:r w:rsidR="00721A20">
        <w:rPr>
          <w:rFonts w:ascii="Arial" w:eastAsia="Calibri" w:hAnsi="Arial" w:cs="Arial"/>
          <w:sz w:val="24"/>
          <w:szCs w:val="24"/>
        </w:rPr>
        <w:t xml:space="preserve">the online IFR </w:t>
      </w:r>
      <w:proofErr w:type="gramStart"/>
      <w:r w:rsidR="00721A20">
        <w:rPr>
          <w:rFonts w:ascii="Arial" w:eastAsia="Calibri" w:hAnsi="Arial" w:cs="Arial"/>
          <w:sz w:val="24"/>
          <w:szCs w:val="24"/>
        </w:rPr>
        <w:t>system</w:t>
      </w:r>
      <w:r w:rsidRPr="008D5BE4">
        <w:rPr>
          <w:rFonts w:ascii="Arial" w:eastAsia="Calibri" w:hAnsi="Arial" w:cs="Arial"/>
          <w:sz w:val="24"/>
          <w:szCs w:val="24"/>
        </w:rPr>
        <w:t>, and</w:t>
      </w:r>
      <w:proofErr w:type="gramEnd"/>
      <w:r w:rsidRPr="008D5BE4">
        <w:rPr>
          <w:rFonts w:ascii="Arial" w:eastAsia="Calibri" w:hAnsi="Arial" w:cs="Arial"/>
          <w:sz w:val="24"/>
          <w:szCs w:val="24"/>
        </w:rPr>
        <w:t xml:space="preserve"> will attach any additional relevant information in support of the case.</w:t>
      </w:r>
    </w:p>
    <w:p w14:paraId="0B230ADE"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4.2</w:t>
      </w:r>
      <w:r w:rsidRPr="008D5BE4">
        <w:rPr>
          <w:rFonts w:ascii="Arial" w:eastAsia="Calibri" w:hAnsi="Arial" w:cs="Arial"/>
          <w:sz w:val="24"/>
          <w:szCs w:val="24"/>
        </w:rPr>
        <w:tab/>
        <w:t xml:space="preserve">Once a request is received, the IFR Team for the respective CCG area will review the detail of the request and assess whether the application is deemed complete. If it is felt any further information is required, the referring clinician will be notified of this and requested to provide the further information needed. </w:t>
      </w:r>
    </w:p>
    <w:p w14:paraId="5A649B8C"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4.3</w:t>
      </w:r>
      <w:r w:rsidRPr="008D5BE4">
        <w:rPr>
          <w:rFonts w:ascii="Arial" w:eastAsia="Calibri" w:hAnsi="Arial" w:cs="Arial"/>
          <w:sz w:val="24"/>
          <w:szCs w:val="24"/>
        </w:rPr>
        <w:tab/>
        <w:t>Once all information is available and the request is deemed complete, the IFR Team and Clinical Support Officer will review the request against any protocols/criteria available and make one of the follo</w:t>
      </w:r>
      <w:r w:rsidR="00131BC9">
        <w:rPr>
          <w:rFonts w:ascii="Arial" w:eastAsia="Calibri" w:hAnsi="Arial" w:cs="Arial"/>
          <w:sz w:val="24"/>
          <w:szCs w:val="24"/>
        </w:rPr>
        <w:t>wing recommendations to the CCG</w:t>
      </w:r>
      <w:r w:rsidRPr="008D5BE4">
        <w:rPr>
          <w:rFonts w:ascii="Arial" w:eastAsia="Calibri" w:hAnsi="Arial" w:cs="Arial"/>
          <w:sz w:val="24"/>
          <w:szCs w:val="24"/>
        </w:rPr>
        <w:t>:</w:t>
      </w:r>
    </w:p>
    <w:p w14:paraId="60B02CD7" w14:textId="77777777" w:rsidR="008D5BE4" w:rsidRPr="008D5BE4" w:rsidRDefault="008D5BE4" w:rsidP="008D5BE4">
      <w:pPr>
        <w:ind w:left="1440" w:hanging="720"/>
        <w:jc w:val="both"/>
        <w:rPr>
          <w:rFonts w:ascii="Arial" w:eastAsia="Calibri" w:hAnsi="Arial" w:cs="Arial"/>
          <w:sz w:val="24"/>
          <w:szCs w:val="24"/>
        </w:rPr>
      </w:pPr>
      <w:r w:rsidRPr="008D5BE4">
        <w:rPr>
          <w:rFonts w:ascii="Arial" w:eastAsia="Calibri" w:hAnsi="Arial" w:cs="Arial"/>
          <w:sz w:val="24"/>
          <w:szCs w:val="24"/>
        </w:rPr>
        <w:t>4.3.1</w:t>
      </w:r>
      <w:r w:rsidRPr="008D5BE4">
        <w:rPr>
          <w:rFonts w:ascii="Arial" w:eastAsia="Calibri" w:hAnsi="Arial" w:cs="Arial"/>
          <w:sz w:val="24"/>
          <w:szCs w:val="24"/>
        </w:rPr>
        <w:tab/>
        <w:t xml:space="preserve">Approve </w:t>
      </w:r>
      <w:proofErr w:type="gramStart"/>
      <w:r w:rsidRPr="008D5BE4">
        <w:rPr>
          <w:rFonts w:ascii="Arial" w:eastAsia="Calibri" w:hAnsi="Arial" w:cs="Arial"/>
          <w:sz w:val="24"/>
          <w:szCs w:val="24"/>
        </w:rPr>
        <w:t>funding</w:t>
      </w:r>
      <w:proofErr w:type="gramEnd"/>
    </w:p>
    <w:p w14:paraId="61B50BEB" w14:textId="77777777" w:rsidR="008D5BE4" w:rsidRPr="008D5BE4" w:rsidRDefault="008D5BE4" w:rsidP="008D5BE4">
      <w:pPr>
        <w:ind w:left="1440" w:hanging="720"/>
        <w:jc w:val="both"/>
        <w:rPr>
          <w:rFonts w:ascii="Arial" w:eastAsia="Calibri" w:hAnsi="Arial" w:cs="Arial"/>
          <w:sz w:val="24"/>
          <w:szCs w:val="24"/>
        </w:rPr>
      </w:pPr>
      <w:r w:rsidRPr="008D5BE4">
        <w:rPr>
          <w:rFonts w:ascii="Arial" w:eastAsia="Calibri" w:hAnsi="Arial" w:cs="Arial"/>
          <w:sz w:val="24"/>
          <w:szCs w:val="24"/>
        </w:rPr>
        <w:t>4.3.2</w:t>
      </w:r>
      <w:r w:rsidRPr="008D5BE4">
        <w:rPr>
          <w:rFonts w:ascii="Arial" w:eastAsia="Calibri" w:hAnsi="Arial" w:cs="Arial"/>
          <w:sz w:val="24"/>
          <w:szCs w:val="24"/>
        </w:rPr>
        <w:tab/>
        <w:t>Reject funding</w:t>
      </w:r>
    </w:p>
    <w:p w14:paraId="79973213" w14:textId="77777777" w:rsidR="008D5BE4" w:rsidRPr="008D5BE4" w:rsidRDefault="008D5BE4" w:rsidP="008D5BE4">
      <w:pPr>
        <w:ind w:left="1440" w:hanging="720"/>
        <w:jc w:val="both"/>
        <w:rPr>
          <w:rFonts w:ascii="Arial" w:eastAsia="Calibri" w:hAnsi="Arial" w:cs="Arial"/>
          <w:sz w:val="24"/>
          <w:szCs w:val="24"/>
        </w:rPr>
      </w:pPr>
      <w:r w:rsidRPr="008D5BE4">
        <w:rPr>
          <w:rFonts w:ascii="Arial" w:eastAsia="Calibri" w:hAnsi="Arial" w:cs="Arial"/>
          <w:sz w:val="24"/>
          <w:szCs w:val="24"/>
        </w:rPr>
        <w:t>4.3.2</w:t>
      </w:r>
      <w:r w:rsidRPr="008D5BE4">
        <w:rPr>
          <w:rFonts w:ascii="Arial" w:eastAsia="Calibri" w:hAnsi="Arial" w:cs="Arial"/>
          <w:sz w:val="24"/>
          <w:szCs w:val="24"/>
        </w:rPr>
        <w:tab/>
        <w:t>Refer the request to the IFR Panel or a nominated CCG Clinician or both, for review and further input and decision.</w:t>
      </w:r>
    </w:p>
    <w:p w14:paraId="3868FED6"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lastRenderedPageBreak/>
        <w:t>4.4</w:t>
      </w:r>
      <w:r w:rsidRPr="008D5BE4">
        <w:rPr>
          <w:rFonts w:ascii="Arial" w:eastAsia="Calibri" w:hAnsi="Arial" w:cs="Arial"/>
          <w:sz w:val="24"/>
          <w:szCs w:val="24"/>
        </w:rPr>
        <w:tab/>
        <w:t>The CCG IFR Panel has a responsibility to review the recommendations made to them by the IFR Team and they can then either endorse the recommendation or request further information from the referring clinician. If this is the case, the IFR Team will contact the referring clinician for this further information and once received, provide a new recommendation to the CCG decision maker. They will then review the request again and endorse the recommendation.</w:t>
      </w:r>
    </w:p>
    <w:p w14:paraId="2F051C01"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4.5</w:t>
      </w:r>
      <w:r w:rsidRPr="008D5BE4">
        <w:rPr>
          <w:rFonts w:ascii="Arial" w:eastAsia="Calibri" w:hAnsi="Arial" w:cs="Arial"/>
          <w:sz w:val="24"/>
          <w:szCs w:val="24"/>
        </w:rPr>
        <w:tab/>
        <w:t>The CCG IFR Panel will meet at least monthly to consider all funding requests.</w:t>
      </w:r>
    </w:p>
    <w:p w14:paraId="7210180B"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 xml:space="preserve">4.6 </w:t>
      </w:r>
      <w:r w:rsidRPr="008D5BE4">
        <w:rPr>
          <w:rFonts w:ascii="Arial" w:eastAsia="Calibri" w:hAnsi="Arial" w:cs="Arial"/>
          <w:sz w:val="24"/>
          <w:szCs w:val="24"/>
        </w:rPr>
        <w:tab/>
        <w:t>Following the decision of all funding requests, the IFR Team will communicate the decision to the referring clinician within 3-working days.</w:t>
      </w:r>
    </w:p>
    <w:p w14:paraId="6E775B59"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4.7</w:t>
      </w:r>
      <w:r w:rsidRPr="008D5BE4">
        <w:rPr>
          <w:rFonts w:ascii="Arial" w:eastAsia="Calibri" w:hAnsi="Arial" w:cs="Arial"/>
          <w:sz w:val="24"/>
          <w:szCs w:val="24"/>
        </w:rPr>
        <w:tab/>
        <w:t xml:space="preserve">Cases will only be presented to the IFR Panel for a funding decision once </w:t>
      </w:r>
      <w:proofErr w:type="gramStart"/>
      <w:r w:rsidRPr="008D5BE4">
        <w:rPr>
          <w:rFonts w:ascii="Arial" w:eastAsia="Calibri" w:hAnsi="Arial" w:cs="Arial"/>
          <w:sz w:val="24"/>
          <w:szCs w:val="24"/>
        </w:rPr>
        <w:t>all of</w:t>
      </w:r>
      <w:proofErr w:type="gramEnd"/>
      <w:r w:rsidRPr="008D5BE4">
        <w:rPr>
          <w:rFonts w:ascii="Arial" w:eastAsia="Calibri" w:hAnsi="Arial" w:cs="Arial"/>
          <w:sz w:val="24"/>
          <w:szCs w:val="24"/>
        </w:rPr>
        <w:t xml:space="preserve"> the required information has been obtained from the referring clinician.</w:t>
      </w:r>
    </w:p>
    <w:p w14:paraId="73F86130"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4.8</w:t>
      </w:r>
      <w:r w:rsidRPr="008D5BE4">
        <w:rPr>
          <w:rFonts w:ascii="Arial" w:eastAsia="Calibri" w:hAnsi="Arial" w:cs="Arial"/>
          <w:sz w:val="24"/>
          <w:szCs w:val="24"/>
        </w:rPr>
        <w:tab/>
        <w:t xml:space="preserve">Decision responses will be sent to referring clinicians as per the template response letters outlined in the appendices. These will either be sent the NECS IFR IT </w:t>
      </w:r>
      <w:proofErr w:type="gramStart"/>
      <w:r w:rsidRPr="008D5BE4">
        <w:rPr>
          <w:rFonts w:ascii="Arial" w:eastAsia="Calibri" w:hAnsi="Arial" w:cs="Arial"/>
          <w:sz w:val="24"/>
          <w:szCs w:val="24"/>
        </w:rPr>
        <w:t>system</w:t>
      </w:r>
      <w:proofErr w:type="gramEnd"/>
      <w:r w:rsidRPr="008D5BE4">
        <w:rPr>
          <w:rFonts w:ascii="Arial" w:eastAsia="Calibri" w:hAnsi="Arial" w:cs="Arial"/>
          <w:sz w:val="24"/>
          <w:szCs w:val="24"/>
        </w:rPr>
        <w:t xml:space="preserve"> and a letter will also be copied to the patient.</w:t>
      </w:r>
    </w:p>
    <w:p w14:paraId="1AB55205" w14:textId="77777777" w:rsidR="008D5BE4" w:rsidRPr="008D5BE4" w:rsidRDefault="008D5BE4" w:rsidP="000668E4">
      <w:pPr>
        <w:ind w:left="720" w:hanging="720"/>
        <w:jc w:val="both"/>
        <w:rPr>
          <w:rFonts w:ascii="Arial" w:eastAsia="Calibri" w:hAnsi="Arial" w:cs="Arial"/>
          <w:sz w:val="24"/>
          <w:szCs w:val="24"/>
        </w:rPr>
      </w:pPr>
      <w:r w:rsidRPr="008D5BE4">
        <w:rPr>
          <w:rFonts w:ascii="Arial" w:eastAsia="Calibri" w:hAnsi="Arial" w:cs="Arial"/>
          <w:sz w:val="24"/>
          <w:szCs w:val="24"/>
        </w:rPr>
        <w:t>4.9</w:t>
      </w:r>
      <w:r w:rsidRPr="008D5BE4">
        <w:rPr>
          <w:rFonts w:ascii="Arial" w:eastAsia="Calibri" w:hAnsi="Arial" w:cs="Arial"/>
          <w:sz w:val="24"/>
          <w:szCs w:val="24"/>
        </w:rPr>
        <w:tab/>
        <w:t xml:space="preserve"> A flow chart which outlines this process is</w:t>
      </w:r>
      <w:r w:rsidR="000668E4">
        <w:rPr>
          <w:rFonts w:ascii="Arial" w:eastAsia="Calibri" w:hAnsi="Arial" w:cs="Arial"/>
          <w:sz w:val="24"/>
          <w:szCs w:val="24"/>
        </w:rPr>
        <w:t xml:space="preserve"> available at in the </w:t>
      </w:r>
      <w:proofErr w:type="gramStart"/>
      <w:r w:rsidR="000668E4">
        <w:rPr>
          <w:rFonts w:ascii="Arial" w:eastAsia="Calibri" w:hAnsi="Arial" w:cs="Arial"/>
          <w:sz w:val="24"/>
          <w:szCs w:val="24"/>
        </w:rPr>
        <w:t>appendices</w:t>
      </w:r>
      <w:proofErr w:type="gramEnd"/>
    </w:p>
    <w:p w14:paraId="39184CBA" w14:textId="77777777" w:rsidR="008D5BE4" w:rsidRPr="008D5BE4" w:rsidRDefault="008D5BE4" w:rsidP="008D5BE4">
      <w:pPr>
        <w:ind w:left="720" w:hanging="720"/>
        <w:jc w:val="both"/>
        <w:rPr>
          <w:rFonts w:ascii="Arial" w:eastAsia="Calibri" w:hAnsi="Arial" w:cs="Arial"/>
          <w:color w:val="548DD4" w:themeColor="text2" w:themeTint="99"/>
          <w:sz w:val="24"/>
          <w:szCs w:val="24"/>
        </w:rPr>
      </w:pPr>
      <w:r w:rsidRPr="005156DE">
        <w:rPr>
          <w:rFonts w:ascii="Arial" w:eastAsia="Calibri" w:hAnsi="Arial" w:cs="Arial"/>
          <w:color w:val="0070C0"/>
          <w:sz w:val="24"/>
          <w:szCs w:val="24"/>
        </w:rPr>
        <w:t>5</w:t>
      </w:r>
      <w:r w:rsidRPr="005156DE">
        <w:rPr>
          <w:rFonts w:ascii="Arial" w:eastAsia="Calibri" w:hAnsi="Arial" w:cs="Arial"/>
          <w:color w:val="0070C0"/>
          <w:sz w:val="24"/>
          <w:szCs w:val="24"/>
        </w:rPr>
        <w:tab/>
      </w:r>
      <w:r w:rsidRPr="005156DE">
        <w:rPr>
          <w:rFonts w:ascii="Arial" w:eastAsia="Calibri" w:hAnsi="Arial" w:cs="Arial"/>
          <w:b/>
          <w:color w:val="0070C0"/>
          <w:sz w:val="24"/>
          <w:szCs w:val="24"/>
        </w:rPr>
        <w:t>CCG IFR PANEL</w:t>
      </w:r>
    </w:p>
    <w:p w14:paraId="74445D46"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5.1</w:t>
      </w:r>
      <w:r w:rsidRPr="008D5BE4">
        <w:rPr>
          <w:rFonts w:ascii="Arial" w:eastAsia="Calibri" w:hAnsi="Arial" w:cs="Arial"/>
          <w:sz w:val="24"/>
          <w:szCs w:val="24"/>
        </w:rPr>
        <w:tab/>
        <w:t>The IFR Team will submit all cases for a funding decision 5 working days prior to the IFR Panel.</w:t>
      </w:r>
    </w:p>
    <w:p w14:paraId="7DBB413C"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 xml:space="preserve">5.2 </w:t>
      </w:r>
      <w:r w:rsidRPr="008D5BE4">
        <w:rPr>
          <w:rFonts w:ascii="Arial" w:eastAsia="Calibri" w:hAnsi="Arial" w:cs="Arial"/>
          <w:sz w:val="24"/>
          <w:szCs w:val="24"/>
        </w:rPr>
        <w:tab/>
        <w:t xml:space="preserve">The CCG IFR Panel will </w:t>
      </w:r>
      <w:proofErr w:type="gramStart"/>
      <w:r w:rsidRPr="008D5BE4">
        <w:rPr>
          <w:rFonts w:ascii="Arial" w:eastAsia="Calibri" w:hAnsi="Arial" w:cs="Arial"/>
          <w:sz w:val="24"/>
          <w:szCs w:val="24"/>
        </w:rPr>
        <w:t>meets</w:t>
      </w:r>
      <w:proofErr w:type="gramEnd"/>
      <w:r w:rsidRPr="008D5BE4">
        <w:rPr>
          <w:rFonts w:ascii="Arial" w:eastAsia="Calibri" w:hAnsi="Arial" w:cs="Arial"/>
          <w:sz w:val="24"/>
          <w:szCs w:val="24"/>
        </w:rPr>
        <w:t xml:space="preserve"> at least monthly to consider all funding requests.  </w:t>
      </w:r>
    </w:p>
    <w:p w14:paraId="13C28FEA"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5.3</w:t>
      </w:r>
      <w:r w:rsidRPr="008D5BE4">
        <w:rPr>
          <w:rFonts w:ascii="Arial" w:eastAsia="Calibri" w:hAnsi="Arial" w:cs="Arial"/>
          <w:sz w:val="24"/>
          <w:szCs w:val="24"/>
        </w:rPr>
        <w:tab/>
        <w:t xml:space="preserve">In circumstances where the IFR Panel are unable to convene, the CCG will put in place an alternative </w:t>
      </w:r>
      <w:proofErr w:type="gramStart"/>
      <w:r w:rsidRPr="008D5BE4">
        <w:rPr>
          <w:rFonts w:ascii="Arial" w:eastAsia="Calibri" w:hAnsi="Arial" w:cs="Arial"/>
          <w:sz w:val="24"/>
          <w:szCs w:val="24"/>
        </w:rPr>
        <w:t>decision making</w:t>
      </w:r>
      <w:proofErr w:type="gramEnd"/>
      <w:r w:rsidRPr="008D5BE4">
        <w:rPr>
          <w:rFonts w:ascii="Arial" w:eastAsia="Calibri" w:hAnsi="Arial" w:cs="Arial"/>
          <w:sz w:val="24"/>
          <w:szCs w:val="24"/>
        </w:rPr>
        <w:t xml:space="preserve"> process to ensure that there is no undue delay in the funding decision.</w:t>
      </w:r>
    </w:p>
    <w:p w14:paraId="2A17B3E3" w14:textId="77777777" w:rsidR="008D5BE4" w:rsidRPr="008D5BE4" w:rsidRDefault="008D5BE4" w:rsidP="008D5BE4">
      <w:pPr>
        <w:ind w:left="720" w:hanging="720"/>
        <w:jc w:val="both"/>
        <w:rPr>
          <w:rFonts w:ascii="Arial" w:eastAsia="Calibri" w:hAnsi="Arial" w:cs="Arial"/>
          <w:b/>
          <w:color w:val="548DD4" w:themeColor="text2" w:themeTint="99"/>
          <w:sz w:val="24"/>
          <w:szCs w:val="24"/>
        </w:rPr>
      </w:pPr>
      <w:r w:rsidRPr="005156DE">
        <w:rPr>
          <w:rFonts w:ascii="Arial" w:eastAsia="Calibri" w:hAnsi="Arial" w:cs="Arial"/>
          <w:b/>
          <w:color w:val="0070C0"/>
          <w:sz w:val="24"/>
          <w:szCs w:val="24"/>
        </w:rPr>
        <w:t>6</w:t>
      </w:r>
      <w:r w:rsidRPr="005156DE">
        <w:rPr>
          <w:rFonts w:ascii="Arial" w:eastAsia="Calibri" w:hAnsi="Arial" w:cs="Arial"/>
          <w:b/>
          <w:color w:val="0070C0"/>
          <w:sz w:val="24"/>
          <w:szCs w:val="24"/>
        </w:rPr>
        <w:tab/>
        <w:t>APPEAL REQUESTS</w:t>
      </w:r>
    </w:p>
    <w:p w14:paraId="6A5CE7ED"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6.1</w:t>
      </w:r>
      <w:r w:rsidRPr="008D5BE4">
        <w:rPr>
          <w:rFonts w:ascii="Arial" w:eastAsia="Calibri" w:hAnsi="Arial" w:cs="Arial"/>
          <w:sz w:val="24"/>
          <w:szCs w:val="24"/>
        </w:rPr>
        <w:tab/>
        <w:t xml:space="preserve">A referring clinician can request an appeal of a decision made by the CCG IFR Panel; this can either be the referring clinician who made the initial request or an alternative referring clinician who is involved in the patient’s case for the condition/treatment in question. An appeal request must be submitted in writing in the IFR Appeal Template. Patients cannot appeal a funding decision alone; they always require the endorsement of a referring clinician. </w:t>
      </w:r>
    </w:p>
    <w:p w14:paraId="093A4E7C"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6.2</w:t>
      </w:r>
      <w:r w:rsidRPr="008D5BE4">
        <w:rPr>
          <w:rFonts w:ascii="Arial" w:eastAsia="Calibri" w:hAnsi="Arial" w:cs="Arial"/>
          <w:sz w:val="24"/>
          <w:szCs w:val="24"/>
        </w:rPr>
        <w:tab/>
        <w:t xml:space="preserve">An appeal request should be made within three months of original decision, via documented correspondence stating why the appeal is being made. </w:t>
      </w:r>
    </w:p>
    <w:p w14:paraId="1CE1A74B"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6.3</w:t>
      </w:r>
      <w:r w:rsidRPr="008D5BE4">
        <w:rPr>
          <w:rFonts w:ascii="Arial" w:eastAsia="Calibri" w:hAnsi="Arial" w:cs="Arial"/>
          <w:sz w:val="24"/>
          <w:szCs w:val="24"/>
        </w:rPr>
        <w:tab/>
        <w:t xml:space="preserve">On receipt of an application for appeal, the IFR Team will screen the original application, the notes of the original decision, all correspondence, any new information and the appeal request. </w:t>
      </w:r>
    </w:p>
    <w:p w14:paraId="17DB9D39"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6.4</w:t>
      </w:r>
      <w:r w:rsidRPr="008D5BE4">
        <w:rPr>
          <w:rFonts w:ascii="Arial" w:eastAsia="Calibri" w:hAnsi="Arial" w:cs="Arial"/>
          <w:sz w:val="24"/>
          <w:szCs w:val="24"/>
        </w:rPr>
        <w:tab/>
        <w:t>Upon receipt of an appeal, the IFR Team will notify the nominated CCG IFR Appeal lead within 2 working days to advise of the case.</w:t>
      </w:r>
    </w:p>
    <w:p w14:paraId="5F2B574A"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lastRenderedPageBreak/>
        <w:t>6.5</w:t>
      </w:r>
      <w:r w:rsidRPr="008D5BE4">
        <w:rPr>
          <w:rFonts w:ascii="Arial" w:eastAsia="Calibri" w:hAnsi="Arial" w:cs="Arial"/>
          <w:sz w:val="24"/>
          <w:szCs w:val="24"/>
        </w:rPr>
        <w:tab/>
        <w:t xml:space="preserve">If the appeal request contains new information and/or evidence that was not considered at the original hearing and this new information is considered significant enough to warrant further review of the case in question, the case will be </w:t>
      </w:r>
      <w:proofErr w:type="gramStart"/>
      <w:r w:rsidRPr="008D5BE4">
        <w:rPr>
          <w:rFonts w:ascii="Arial" w:eastAsia="Calibri" w:hAnsi="Arial" w:cs="Arial"/>
          <w:sz w:val="24"/>
          <w:szCs w:val="24"/>
        </w:rPr>
        <w:t>referred back</w:t>
      </w:r>
      <w:proofErr w:type="gramEnd"/>
      <w:r w:rsidRPr="008D5BE4">
        <w:rPr>
          <w:rFonts w:ascii="Arial" w:eastAsia="Calibri" w:hAnsi="Arial" w:cs="Arial"/>
          <w:sz w:val="24"/>
          <w:szCs w:val="24"/>
        </w:rPr>
        <w:t xml:space="preserve"> to an IFR Panel for reconsideration. Where this is the case, </w:t>
      </w:r>
      <w:r w:rsidRPr="008D5BE4">
        <w:rPr>
          <w:rFonts w:ascii="Arial" w:eastAsia="Calibri" w:hAnsi="Arial" w:cs="Arial"/>
          <w:sz w:val="24"/>
          <w:szCs w:val="24"/>
          <w:u w:val="single"/>
        </w:rPr>
        <w:t>it will not be taken as part of an appeals process</w:t>
      </w:r>
      <w:r w:rsidRPr="008D5BE4">
        <w:rPr>
          <w:rFonts w:ascii="Arial" w:eastAsia="Calibri" w:hAnsi="Arial" w:cs="Arial"/>
          <w:sz w:val="24"/>
          <w:szCs w:val="24"/>
        </w:rPr>
        <w:t>, i.e. the clinician’s right to appeal will not have been exhausted at this point.</w:t>
      </w:r>
    </w:p>
    <w:p w14:paraId="1CC0ABF2"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6.6</w:t>
      </w:r>
      <w:r w:rsidRPr="008D5BE4">
        <w:rPr>
          <w:rFonts w:ascii="Arial" w:eastAsia="Calibri" w:hAnsi="Arial" w:cs="Arial"/>
          <w:sz w:val="24"/>
          <w:szCs w:val="24"/>
        </w:rPr>
        <w:tab/>
        <w:t>An appeal will only be granted where there are grounds for an appeal i.e. where there is evidence that the CCG/Panel may not have acted in accordance with the agreed IFR process, considered the relevant evidence, considered material factors only or appropriately applied the criteria in making this decision. In this case, the request will be considered as an appeal and referred to the CCG IFR Appeals Panel.</w:t>
      </w:r>
      <w:r w:rsidRPr="008D5BE4">
        <w:rPr>
          <w:rFonts w:ascii="Arial" w:eastAsia="Calibri" w:hAnsi="Arial" w:cs="Arial"/>
          <w:sz w:val="24"/>
          <w:szCs w:val="24"/>
        </w:rPr>
        <w:tab/>
      </w:r>
    </w:p>
    <w:p w14:paraId="26911245"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6.7</w:t>
      </w:r>
      <w:r w:rsidRPr="008D5BE4">
        <w:rPr>
          <w:rFonts w:ascii="Arial" w:eastAsia="Calibri" w:hAnsi="Arial" w:cs="Arial"/>
          <w:sz w:val="24"/>
          <w:szCs w:val="24"/>
        </w:rPr>
        <w:tab/>
        <w:t xml:space="preserve">If an appeal request is received outside of this </w:t>
      </w:r>
      <w:proofErr w:type="gramStart"/>
      <w:r w:rsidRPr="008D5BE4">
        <w:rPr>
          <w:rFonts w:ascii="Arial" w:eastAsia="Calibri" w:hAnsi="Arial" w:cs="Arial"/>
          <w:sz w:val="24"/>
          <w:szCs w:val="24"/>
        </w:rPr>
        <w:t>three month</w:t>
      </w:r>
      <w:proofErr w:type="gramEnd"/>
      <w:r w:rsidRPr="008D5BE4">
        <w:rPr>
          <w:rFonts w:ascii="Arial" w:eastAsia="Calibri" w:hAnsi="Arial" w:cs="Arial"/>
          <w:sz w:val="24"/>
          <w:szCs w:val="24"/>
        </w:rPr>
        <w:t xml:space="preserve"> period, it will be classed as a new request and the referrer will be asked to submit the application as a new request.  However, unless a funding policy has changed between the original decision and the appeal request which directly affects the treatment/procedure, new information must be submitted that wasn’t taken into consideration at the time of the original application for it to be presented again. If no new information is presented, the appeal request will not be granted and the IFR Team will correspond with the referring clinician advising them of this.</w:t>
      </w:r>
    </w:p>
    <w:p w14:paraId="2676B31D"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6.8</w:t>
      </w:r>
      <w:r w:rsidRPr="008D5BE4">
        <w:rPr>
          <w:rFonts w:ascii="Arial" w:eastAsia="Calibri" w:hAnsi="Arial" w:cs="Arial"/>
          <w:sz w:val="24"/>
          <w:szCs w:val="24"/>
        </w:rPr>
        <w:tab/>
        <w:t>In summary:</w:t>
      </w:r>
    </w:p>
    <w:p w14:paraId="32C23567" w14:textId="77777777" w:rsidR="008D5BE4" w:rsidRPr="008D5BE4" w:rsidRDefault="008D5BE4" w:rsidP="008D5BE4">
      <w:pPr>
        <w:ind w:left="1440" w:hanging="720"/>
        <w:jc w:val="both"/>
        <w:rPr>
          <w:rFonts w:ascii="Arial" w:eastAsia="Calibri" w:hAnsi="Arial" w:cs="Arial"/>
          <w:sz w:val="24"/>
          <w:szCs w:val="24"/>
        </w:rPr>
      </w:pPr>
      <w:r w:rsidRPr="008D5BE4">
        <w:rPr>
          <w:rFonts w:ascii="Arial" w:eastAsia="Calibri" w:hAnsi="Arial" w:cs="Arial"/>
          <w:sz w:val="24"/>
          <w:szCs w:val="24"/>
        </w:rPr>
        <w:t>6.8.1</w:t>
      </w:r>
      <w:r w:rsidRPr="008D5BE4">
        <w:rPr>
          <w:rFonts w:ascii="Arial" w:eastAsia="Calibri" w:hAnsi="Arial" w:cs="Arial"/>
          <w:sz w:val="24"/>
          <w:szCs w:val="24"/>
        </w:rPr>
        <w:tab/>
        <w:t>If the appeal request is outside of three months of the original decision, the request will be treated as a new request and managed via the process as outlined above.</w:t>
      </w:r>
    </w:p>
    <w:p w14:paraId="5F879066" w14:textId="77777777" w:rsidR="008D5BE4" w:rsidRPr="008D5BE4" w:rsidRDefault="008D5BE4" w:rsidP="008D5BE4">
      <w:pPr>
        <w:ind w:left="1440" w:hanging="720"/>
        <w:jc w:val="both"/>
        <w:rPr>
          <w:rFonts w:ascii="Arial" w:eastAsia="Calibri" w:hAnsi="Arial" w:cs="Arial"/>
          <w:sz w:val="24"/>
          <w:szCs w:val="24"/>
        </w:rPr>
      </w:pPr>
      <w:r w:rsidRPr="008D5BE4">
        <w:rPr>
          <w:rFonts w:ascii="Arial" w:eastAsia="Calibri" w:hAnsi="Arial" w:cs="Arial"/>
          <w:sz w:val="24"/>
          <w:szCs w:val="24"/>
        </w:rPr>
        <w:t>6.8.2</w:t>
      </w:r>
      <w:r w:rsidRPr="008D5BE4">
        <w:rPr>
          <w:rFonts w:ascii="Arial" w:eastAsia="Calibri" w:hAnsi="Arial" w:cs="Arial"/>
          <w:sz w:val="24"/>
          <w:szCs w:val="24"/>
        </w:rPr>
        <w:tab/>
        <w:t>If substantial new information has been presented over and above the contents of the original application, the IFR Team will re-refer the case to the next available IFR Panel for consideration.</w:t>
      </w:r>
    </w:p>
    <w:p w14:paraId="6EBB8D0B" w14:textId="77777777" w:rsidR="008D5BE4" w:rsidRPr="008D5BE4" w:rsidRDefault="008D5BE4" w:rsidP="008D5BE4">
      <w:pPr>
        <w:ind w:left="1440" w:hanging="720"/>
        <w:jc w:val="both"/>
        <w:rPr>
          <w:rFonts w:ascii="Arial" w:eastAsia="Calibri" w:hAnsi="Arial" w:cs="Arial"/>
          <w:sz w:val="24"/>
          <w:szCs w:val="24"/>
        </w:rPr>
      </w:pPr>
      <w:r w:rsidRPr="008D5BE4">
        <w:rPr>
          <w:rFonts w:ascii="Arial" w:eastAsia="Calibri" w:hAnsi="Arial" w:cs="Arial"/>
          <w:sz w:val="24"/>
          <w:szCs w:val="24"/>
        </w:rPr>
        <w:t>6.8.3</w:t>
      </w:r>
      <w:r w:rsidRPr="008D5BE4">
        <w:rPr>
          <w:rFonts w:ascii="Arial" w:eastAsia="Calibri" w:hAnsi="Arial" w:cs="Arial"/>
          <w:sz w:val="24"/>
          <w:szCs w:val="24"/>
        </w:rPr>
        <w:tab/>
        <w:t>If there are no grounds to warrant an appeal, the IFR Team will correspond with the referring clinician to decline the appeal request.</w:t>
      </w:r>
    </w:p>
    <w:p w14:paraId="2C1EBFBB" w14:textId="77777777" w:rsidR="008D5BE4" w:rsidRPr="008D5BE4" w:rsidRDefault="008D5BE4" w:rsidP="008D5BE4">
      <w:pPr>
        <w:ind w:left="1440" w:hanging="720"/>
        <w:jc w:val="both"/>
        <w:rPr>
          <w:rFonts w:ascii="Arial" w:eastAsia="Calibri" w:hAnsi="Arial" w:cs="Arial"/>
          <w:sz w:val="24"/>
          <w:szCs w:val="24"/>
        </w:rPr>
      </w:pPr>
      <w:r w:rsidRPr="008D5BE4">
        <w:rPr>
          <w:rFonts w:ascii="Arial" w:eastAsia="Calibri" w:hAnsi="Arial" w:cs="Arial"/>
          <w:sz w:val="24"/>
          <w:szCs w:val="24"/>
        </w:rPr>
        <w:t>6.8.4</w:t>
      </w:r>
      <w:r w:rsidRPr="008D5BE4">
        <w:rPr>
          <w:rFonts w:ascii="Arial" w:eastAsia="Calibri" w:hAnsi="Arial" w:cs="Arial"/>
          <w:sz w:val="24"/>
          <w:szCs w:val="24"/>
        </w:rPr>
        <w:tab/>
        <w:t>If there are grounds to warrant an appeal the case will be presented at the CCG IFR Appeals Panel for consideration.</w:t>
      </w:r>
    </w:p>
    <w:p w14:paraId="32AE2F98"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6.9</w:t>
      </w:r>
      <w:r w:rsidRPr="008D5BE4">
        <w:rPr>
          <w:rFonts w:ascii="Arial" w:eastAsia="Calibri" w:hAnsi="Arial" w:cs="Arial"/>
          <w:sz w:val="24"/>
          <w:szCs w:val="24"/>
        </w:rPr>
        <w:tab/>
        <w:t xml:space="preserve">An Appeal’s Panel </w:t>
      </w:r>
      <w:proofErr w:type="gramStart"/>
      <w:r w:rsidRPr="008D5BE4">
        <w:rPr>
          <w:rFonts w:ascii="Arial" w:eastAsia="Calibri" w:hAnsi="Arial" w:cs="Arial"/>
          <w:sz w:val="24"/>
          <w:szCs w:val="24"/>
        </w:rPr>
        <w:t>will</w:t>
      </w:r>
      <w:proofErr w:type="gramEnd"/>
      <w:r w:rsidRPr="008D5BE4">
        <w:rPr>
          <w:rFonts w:ascii="Arial" w:eastAsia="Calibri" w:hAnsi="Arial" w:cs="Arial"/>
          <w:sz w:val="24"/>
          <w:szCs w:val="24"/>
        </w:rPr>
        <w:t xml:space="preserve"> assess the case against the agreed IFR process, assess if the original decision considered the relevant evidence, considered material factors only and appropriately applied the criteria in making the decision. The Appeal Panel will decide to either overturn the original decision and support the request or uphold the original decision and reject the request. </w:t>
      </w:r>
    </w:p>
    <w:p w14:paraId="5F6498B5"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6.10</w:t>
      </w:r>
      <w:r w:rsidRPr="008D5BE4">
        <w:rPr>
          <w:rFonts w:ascii="Arial" w:eastAsia="Calibri" w:hAnsi="Arial" w:cs="Arial"/>
          <w:sz w:val="24"/>
          <w:szCs w:val="24"/>
        </w:rPr>
        <w:tab/>
        <w:t>If further information is required, this will be determined at the Appeal’s Panel meeting and the IFR Team will request this in writing from the referring clinician. Upon receipt of the information, the Appeals Panel will reconvene to conclude their decision.</w:t>
      </w:r>
    </w:p>
    <w:p w14:paraId="31434454"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6.11</w:t>
      </w:r>
      <w:r w:rsidRPr="008D5BE4">
        <w:rPr>
          <w:rFonts w:ascii="Arial" w:eastAsia="Calibri" w:hAnsi="Arial" w:cs="Arial"/>
          <w:sz w:val="24"/>
          <w:szCs w:val="24"/>
        </w:rPr>
        <w:tab/>
        <w:t xml:space="preserve">Once a case has been presented as an appeal and discussed at an Appeal Panel, the decision will be final and no further appeal requests can be made. The IFR Team will develop a decision letter and will send this to the Chair of the Appeal Panel for approval. Once </w:t>
      </w:r>
      <w:r w:rsidRPr="008D5BE4">
        <w:rPr>
          <w:rFonts w:ascii="Arial" w:eastAsia="Calibri" w:hAnsi="Arial" w:cs="Arial"/>
          <w:sz w:val="24"/>
          <w:szCs w:val="24"/>
        </w:rPr>
        <w:lastRenderedPageBreak/>
        <w:t>approval is received the IFR Team will then send this to the referring clinician who requested the appeal and send a copy to the patient.</w:t>
      </w:r>
    </w:p>
    <w:p w14:paraId="7CA1058E"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6.12</w:t>
      </w:r>
      <w:r w:rsidRPr="008D5BE4">
        <w:rPr>
          <w:rFonts w:ascii="Arial" w:eastAsia="Calibri" w:hAnsi="Arial" w:cs="Arial"/>
          <w:sz w:val="24"/>
          <w:szCs w:val="24"/>
        </w:rPr>
        <w:tab/>
        <w:t>Appeal responses will be as per the template outlined in Appendix</w:t>
      </w:r>
      <w:r w:rsidR="0023560E">
        <w:rPr>
          <w:rFonts w:ascii="Arial" w:eastAsia="Calibri" w:hAnsi="Arial" w:cs="Arial"/>
          <w:sz w:val="24"/>
          <w:szCs w:val="24"/>
        </w:rPr>
        <w:t xml:space="preserve"> 2</w:t>
      </w:r>
    </w:p>
    <w:p w14:paraId="485F1DE2" w14:textId="77777777" w:rsidR="008D5BE4" w:rsidRPr="008D5BE4" w:rsidRDefault="008D5BE4" w:rsidP="008D5BE4">
      <w:pPr>
        <w:jc w:val="both"/>
        <w:rPr>
          <w:rFonts w:ascii="Arial" w:eastAsia="Calibri" w:hAnsi="Arial" w:cs="Arial"/>
          <w:b/>
          <w:color w:val="548DD4" w:themeColor="text2" w:themeTint="99"/>
          <w:sz w:val="24"/>
          <w:szCs w:val="24"/>
        </w:rPr>
      </w:pPr>
      <w:r w:rsidRPr="005156DE">
        <w:rPr>
          <w:rFonts w:ascii="Arial" w:eastAsia="Calibri" w:hAnsi="Arial" w:cs="Arial"/>
          <w:b/>
          <w:color w:val="0070C0"/>
          <w:sz w:val="24"/>
          <w:szCs w:val="24"/>
        </w:rPr>
        <w:t>7</w:t>
      </w:r>
      <w:r w:rsidRPr="005156DE">
        <w:rPr>
          <w:rFonts w:ascii="Arial" w:eastAsia="Calibri" w:hAnsi="Arial" w:cs="Arial"/>
          <w:b/>
          <w:color w:val="0070C0"/>
          <w:sz w:val="24"/>
          <w:szCs w:val="24"/>
        </w:rPr>
        <w:tab/>
        <w:t>IFR PANELS</w:t>
      </w:r>
    </w:p>
    <w:p w14:paraId="040A4657" w14:textId="77777777" w:rsidR="008D5BE4" w:rsidRPr="008D5BE4" w:rsidRDefault="008D5BE4" w:rsidP="008D5BE4">
      <w:pPr>
        <w:jc w:val="both"/>
        <w:rPr>
          <w:rFonts w:ascii="Arial" w:eastAsia="Calibri" w:hAnsi="Arial" w:cs="Arial"/>
          <w:sz w:val="24"/>
          <w:szCs w:val="24"/>
        </w:rPr>
      </w:pPr>
      <w:r w:rsidRPr="008D5BE4">
        <w:rPr>
          <w:rFonts w:ascii="Arial" w:eastAsia="Calibri" w:hAnsi="Arial" w:cs="Arial"/>
          <w:sz w:val="24"/>
          <w:szCs w:val="24"/>
        </w:rPr>
        <w:t>7.1</w:t>
      </w:r>
      <w:r w:rsidRPr="008D5BE4">
        <w:rPr>
          <w:rFonts w:ascii="Arial" w:eastAsia="Calibri" w:hAnsi="Arial" w:cs="Arial"/>
          <w:sz w:val="24"/>
          <w:szCs w:val="24"/>
        </w:rPr>
        <w:tab/>
        <w:t>Each Panel will consist of the following representation:</w:t>
      </w:r>
    </w:p>
    <w:p w14:paraId="193925EA" w14:textId="77777777" w:rsidR="008D5BE4" w:rsidRPr="008D5BE4" w:rsidRDefault="008D5BE4" w:rsidP="009E6148">
      <w:pPr>
        <w:numPr>
          <w:ilvl w:val="1"/>
          <w:numId w:val="15"/>
        </w:numPr>
        <w:contextualSpacing/>
        <w:jc w:val="both"/>
        <w:rPr>
          <w:rFonts w:ascii="Arial" w:eastAsia="Calibri" w:hAnsi="Arial" w:cs="Arial"/>
          <w:sz w:val="24"/>
          <w:szCs w:val="24"/>
        </w:rPr>
      </w:pPr>
      <w:r w:rsidRPr="008D5BE4">
        <w:rPr>
          <w:rFonts w:ascii="Arial" w:eastAsia="Calibri" w:hAnsi="Arial" w:cs="Arial"/>
          <w:sz w:val="24"/>
          <w:szCs w:val="24"/>
        </w:rPr>
        <w:t>Chair (Nominated CCG Senior Manager)</w:t>
      </w:r>
    </w:p>
    <w:p w14:paraId="40703F39" w14:textId="77777777" w:rsidR="008D5BE4" w:rsidRPr="008D5BE4" w:rsidRDefault="00404075" w:rsidP="009E6148">
      <w:pPr>
        <w:numPr>
          <w:ilvl w:val="1"/>
          <w:numId w:val="15"/>
        </w:numPr>
        <w:contextualSpacing/>
        <w:jc w:val="both"/>
        <w:rPr>
          <w:rFonts w:ascii="Arial" w:eastAsia="Calibri" w:hAnsi="Arial" w:cs="Arial"/>
          <w:sz w:val="24"/>
          <w:szCs w:val="24"/>
        </w:rPr>
      </w:pPr>
      <w:r>
        <w:rPr>
          <w:rFonts w:ascii="Arial" w:eastAsia="Calibri" w:hAnsi="Arial" w:cs="Arial"/>
          <w:sz w:val="24"/>
          <w:szCs w:val="24"/>
        </w:rPr>
        <w:t>Two</w:t>
      </w:r>
      <w:r w:rsidR="008D5BE4" w:rsidRPr="008D5BE4">
        <w:rPr>
          <w:rFonts w:ascii="Arial" w:eastAsia="Calibri" w:hAnsi="Arial" w:cs="Arial"/>
          <w:sz w:val="24"/>
          <w:szCs w:val="24"/>
        </w:rPr>
        <w:t xml:space="preserve"> CCG GP’s clinical decision makers </w:t>
      </w:r>
    </w:p>
    <w:p w14:paraId="2D3656E8" w14:textId="77777777" w:rsidR="008D5BE4" w:rsidRPr="008D5BE4" w:rsidRDefault="008D5BE4" w:rsidP="009E6148">
      <w:pPr>
        <w:numPr>
          <w:ilvl w:val="1"/>
          <w:numId w:val="15"/>
        </w:numPr>
        <w:contextualSpacing/>
        <w:jc w:val="both"/>
        <w:rPr>
          <w:rFonts w:ascii="Arial" w:eastAsia="Calibri" w:hAnsi="Arial" w:cs="Arial"/>
          <w:sz w:val="24"/>
          <w:szCs w:val="24"/>
        </w:rPr>
      </w:pPr>
      <w:r w:rsidRPr="008D5BE4">
        <w:rPr>
          <w:rFonts w:ascii="Arial" w:eastAsia="Calibri" w:hAnsi="Arial" w:cs="Arial"/>
          <w:sz w:val="24"/>
          <w:szCs w:val="24"/>
        </w:rPr>
        <w:t>IFR Team Representative (</w:t>
      </w:r>
      <w:r w:rsidRPr="008D5BE4">
        <w:rPr>
          <w:rFonts w:ascii="Arial" w:eastAsia="Calibri" w:hAnsi="Arial" w:cs="Arial"/>
          <w:i/>
          <w:sz w:val="24"/>
          <w:szCs w:val="24"/>
        </w:rPr>
        <w:t>if not already acting in the capacity of contracting representative)</w:t>
      </w:r>
    </w:p>
    <w:p w14:paraId="18B0DD06" w14:textId="77777777" w:rsidR="007A02A5" w:rsidRDefault="008D5BE4" w:rsidP="007A02A5">
      <w:pPr>
        <w:numPr>
          <w:ilvl w:val="1"/>
          <w:numId w:val="15"/>
        </w:numPr>
        <w:contextualSpacing/>
        <w:jc w:val="both"/>
        <w:rPr>
          <w:rFonts w:ascii="Arial" w:eastAsia="Calibri" w:hAnsi="Arial" w:cs="Arial"/>
          <w:sz w:val="24"/>
          <w:szCs w:val="24"/>
        </w:rPr>
      </w:pPr>
      <w:r w:rsidRPr="008D5BE4">
        <w:rPr>
          <w:rFonts w:ascii="Arial" w:eastAsia="Calibri" w:hAnsi="Arial" w:cs="Arial"/>
          <w:sz w:val="24"/>
          <w:szCs w:val="24"/>
        </w:rPr>
        <w:t>Triage Nurse</w:t>
      </w:r>
      <w:r w:rsidR="007A02A5">
        <w:rPr>
          <w:rFonts w:ascii="Arial" w:eastAsia="Calibri" w:hAnsi="Arial" w:cs="Arial"/>
          <w:sz w:val="24"/>
          <w:szCs w:val="24"/>
        </w:rPr>
        <w:t xml:space="preserve">  </w:t>
      </w:r>
    </w:p>
    <w:p w14:paraId="541BE161" w14:textId="77777777" w:rsidR="007A02A5" w:rsidRPr="007A02A5" w:rsidRDefault="007A02A5" w:rsidP="007A02A5">
      <w:pPr>
        <w:ind w:left="1440"/>
        <w:contextualSpacing/>
        <w:jc w:val="both"/>
        <w:rPr>
          <w:rFonts w:ascii="Arial" w:eastAsia="Calibri" w:hAnsi="Arial" w:cs="Arial"/>
          <w:sz w:val="24"/>
          <w:szCs w:val="24"/>
        </w:rPr>
      </w:pPr>
    </w:p>
    <w:p w14:paraId="4CA23AE7" w14:textId="77777777" w:rsid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7.2</w:t>
      </w:r>
      <w:r w:rsidRPr="008D5BE4">
        <w:rPr>
          <w:rFonts w:ascii="Arial" w:eastAsia="Calibri" w:hAnsi="Arial" w:cs="Arial"/>
          <w:sz w:val="24"/>
          <w:szCs w:val="24"/>
        </w:rPr>
        <w:tab/>
        <w:t xml:space="preserve">For the meetings to be quorate, they must consist of a Chair and a minimum of one GP. The IFR Team must also be in attendance and will support the presentation of cases where required and take notes of each meeting. </w:t>
      </w:r>
    </w:p>
    <w:p w14:paraId="06BA82A5"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7.3</w:t>
      </w:r>
      <w:r w:rsidRPr="008D5BE4">
        <w:rPr>
          <w:rFonts w:ascii="Arial" w:eastAsia="Calibri" w:hAnsi="Arial" w:cs="Arial"/>
          <w:sz w:val="24"/>
          <w:szCs w:val="24"/>
        </w:rPr>
        <w:tab/>
        <w:t xml:space="preserve">Each Panel will be held at least </w:t>
      </w:r>
      <w:proofErr w:type="gramStart"/>
      <w:r w:rsidRPr="008D5BE4">
        <w:rPr>
          <w:rFonts w:ascii="Arial" w:eastAsia="Calibri" w:hAnsi="Arial" w:cs="Arial"/>
          <w:sz w:val="24"/>
          <w:szCs w:val="24"/>
        </w:rPr>
        <w:t>monthly</w:t>
      </w:r>
      <w:proofErr w:type="gramEnd"/>
      <w:r w:rsidRPr="008D5BE4">
        <w:rPr>
          <w:rFonts w:ascii="Arial" w:eastAsia="Calibri" w:hAnsi="Arial" w:cs="Arial"/>
          <w:sz w:val="24"/>
          <w:szCs w:val="24"/>
        </w:rPr>
        <w:t xml:space="preserve"> </w:t>
      </w:r>
    </w:p>
    <w:p w14:paraId="3C32956F"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7.4</w:t>
      </w:r>
      <w:r w:rsidRPr="008D5BE4">
        <w:rPr>
          <w:rFonts w:ascii="Arial" w:eastAsia="Calibri" w:hAnsi="Arial" w:cs="Arial"/>
          <w:sz w:val="24"/>
          <w:szCs w:val="24"/>
        </w:rPr>
        <w:tab/>
        <w:t xml:space="preserve">Papers will be prepared before each meeting and will be circulated to all members 5 working days in advance of the meeting taking place. </w:t>
      </w:r>
    </w:p>
    <w:p w14:paraId="7B9BA494"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7.5</w:t>
      </w:r>
      <w:r w:rsidRPr="008D5BE4">
        <w:rPr>
          <w:rFonts w:ascii="Arial" w:eastAsia="Calibri" w:hAnsi="Arial" w:cs="Arial"/>
          <w:sz w:val="24"/>
          <w:szCs w:val="24"/>
        </w:rPr>
        <w:tab/>
        <w:t xml:space="preserve">Notes of the meeting will be taken by the IFR Team, these will consist of a brief overview of the discussion that takes place regarding each case and the </w:t>
      </w:r>
    </w:p>
    <w:p w14:paraId="1D05B921" w14:textId="77777777" w:rsidR="008D5BE4" w:rsidRPr="008D5BE4" w:rsidRDefault="008D5BE4" w:rsidP="008D5BE4">
      <w:pPr>
        <w:ind w:left="720" w:hanging="720"/>
        <w:jc w:val="both"/>
        <w:rPr>
          <w:rFonts w:ascii="Arial" w:eastAsia="Calibri" w:hAnsi="Arial" w:cs="Arial"/>
          <w:b/>
          <w:color w:val="548DD4" w:themeColor="text2" w:themeTint="99"/>
          <w:sz w:val="24"/>
          <w:szCs w:val="24"/>
        </w:rPr>
      </w:pPr>
      <w:r w:rsidRPr="005156DE">
        <w:rPr>
          <w:rFonts w:ascii="Arial" w:eastAsia="Calibri" w:hAnsi="Arial" w:cs="Arial"/>
          <w:b/>
          <w:color w:val="0070C0"/>
          <w:sz w:val="24"/>
          <w:szCs w:val="24"/>
        </w:rPr>
        <w:t>8</w:t>
      </w:r>
      <w:r w:rsidRPr="005156DE">
        <w:rPr>
          <w:rFonts w:ascii="Arial" w:eastAsia="Calibri" w:hAnsi="Arial" w:cs="Arial"/>
          <w:b/>
          <w:color w:val="0070C0"/>
          <w:sz w:val="24"/>
          <w:szCs w:val="24"/>
        </w:rPr>
        <w:tab/>
        <w:t>FOI/MP LETTERS/COMPLAINTS</w:t>
      </w:r>
    </w:p>
    <w:p w14:paraId="7F9BE819"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8.1</w:t>
      </w:r>
      <w:r w:rsidRPr="008D5BE4">
        <w:rPr>
          <w:rFonts w:ascii="Arial" w:eastAsia="Calibri" w:hAnsi="Arial" w:cs="Arial"/>
          <w:sz w:val="24"/>
          <w:szCs w:val="24"/>
        </w:rPr>
        <w:tab/>
        <w:t>FOIs, MP letters and complaints will be managed directly by the CCG teams who have the responsibility for these areas. However, it is recognised that responses to these requests may be specific to decisions made by IFR Panel.</w:t>
      </w:r>
    </w:p>
    <w:p w14:paraId="1B24015E"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8.2</w:t>
      </w:r>
      <w:r w:rsidRPr="008D5BE4">
        <w:rPr>
          <w:rFonts w:ascii="Arial" w:eastAsia="Calibri" w:hAnsi="Arial" w:cs="Arial"/>
          <w:sz w:val="24"/>
          <w:szCs w:val="24"/>
        </w:rPr>
        <w:tab/>
        <w:t xml:space="preserve">Where this is the case, the relevant team will send a copy of the request to the IFR Team, who will review the relevant information and develop a response within 10 working days. </w:t>
      </w:r>
    </w:p>
    <w:p w14:paraId="4F553768" w14:textId="77777777" w:rsidR="008D5BE4" w:rsidRPr="008D5BE4" w:rsidRDefault="008D5BE4" w:rsidP="008D5BE4">
      <w:pPr>
        <w:ind w:left="720" w:hanging="720"/>
        <w:jc w:val="both"/>
        <w:rPr>
          <w:rFonts w:ascii="Arial" w:eastAsia="Calibri" w:hAnsi="Arial" w:cs="Arial"/>
          <w:b/>
          <w:color w:val="548DD4" w:themeColor="text2" w:themeTint="99"/>
          <w:sz w:val="24"/>
          <w:szCs w:val="24"/>
        </w:rPr>
      </w:pPr>
      <w:r w:rsidRPr="005156DE">
        <w:rPr>
          <w:rFonts w:ascii="Arial" w:eastAsia="Calibri" w:hAnsi="Arial" w:cs="Arial"/>
          <w:b/>
          <w:color w:val="0070C0"/>
          <w:sz w:val="24"/>
          <w:szCs w:val="24"/>
        </w:rPr>
        <w:t>9</w:t>
      </w:r>
      <w:r w:rsidRPr="005156DE">
        <w:rPr>
          <w:rFonts w:ascii="Arial" w:eastAsia="Calibri" w:hAnsi="Arial" w:cs="Arial"/>
          <w:b/>
          <w:color w:val="0070C0"/>
          <w:sz w:val="24"/>
          <w:szCs w:val="24"/>
        </w:rPr>
        <w:tab/>
        <w:t>FUNDING POLICIES</w:t>
      </w:r>
      <w:r w:rsidR="004D17E8" w:rsidRPr="005156DE">
        <w:rPr>
          <w:rFonts w:ascii="Arial" w:eastAsia="Calibri" w:hAnsi="Arial" w:cs="Arial"/>
          <w:b/>
          <w:color w:val="0070C0"/>
          <w:sz w:val="24"/>
          <w:szCs w:val="24"/>
        </w:rPr>
        <w:t xml:space="preserve"> COMMISSIONING STATEMENTS</w:t>
      </w:r>
    </w:p>
    <w:p w14:paraId="133B7CD5"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9.1</w:t>
      </w:r>
      <w:r w:rsidRPr="008D5BE4">
        <w:rPr>
          <w:rFonts w:ascii="Arial" w:eastAsia="Calibri" w:hAnsi="Arial" w:cs="Arial"/>
          <w:sz w:val="24"/>
          <w:szCs w:val="24"/>
        </w:rPr>
        <w:tab/>
      </w:r>
      <w:r w:rsidR="004D17E8">
        <w:rPr>
          <w:rFonts w:ascii="Arial" w:eastAsia="Calibri" w:hAnsi="Arial" w:cs="Arial"/>
          <w:sz w:val="24"/>
          <w:szCs w:val="24"/>
        </w:rPr>
        <w:t>The funding commissioning statements</w:t>
      </w:r>
      <w:r w:rsidRPr="008D5BE4">
        <w:rPr>
          <w:rFonts w:ascii="Arial" w:eastAsia="Calibri" w:hAnsi="Arial" w:cs="Arial"/>
          <w:sz w:val="24"/>
          <w:szCs w:val="24"/>
        </w:rPr>
        <w:t xml:space="preserve"> in existence for the CCG </w:t>
      </w:r>
      <w:r w:rsidR="00F6219E">
        <w:rPr>
          <w:rFonts w:ascii="Arial" w:eastAsia="Calibri" w:hAnsi="Arial" w:cs="Arial"/>
          <w:sz w:val="24"/>
          <w:szCs w:val="24"/>
        </w:rPr>
        <w:t>are attached as appendices</w:t>
      </w:r>
      <w:r w:rsidR="004D17E8">
        <w:rPr>
          <w:rFonts w:ascii="Arial" w:eastAsia="Calibri" w:hAnsi="Arial" w:cs="Arial"/>
          <w:sz w:val="24"/>
          <w:szCs w:val="24"/>
        </w:rPr>
        <w:t xml:space="preserve"> and can be found on the </w:t>
      </w:r>
      <w:proofErr w:type="gramStart"/>
      <w:r w:rsidR="004D17E8">
        <w:rPr>
          <w:rFonts w:ascii="Arial" w:eastAsia="Calibri" w:hAnsi="Arial" w:cs="Arial"/>
          <w:sz w:val="24"/>
          <w:szCs w:val="24"/>
        </w:rPr>
        <w:t>website</w:t>
      </w:r>
      <w:proofErr w:type="gramEnd"/>
    </w:p>
    <w:p w14:paraId="6C30A801" w14:textId="77777777" w:rsidR="008D5BE4" w:rsidRPr="008D5BE4" w:rsidRDefault="008D5BE4" w:rsidP="008D5BE4">
      <w:pPr>
        <w:ind w:left="720" w:hanging="720"/>
        <w:jc w:val="both"/>
        <w:rPr>
          <w:rFonts w:ascii="Arial" w:eastAsia="Calibri" w:hAnsi="Arial" w:cs="Arial"/>
          <w:sz w:val="24"/>
          <w:szCs w:val="24"/>
        </w:rPr>
      </w:pPr>
      <w:r w:rsidRPr="008D5BE4">
        <w:rPr>
          <w:rFonts w:ascii="Arial" w:eastAsia="Calibri" w:hAnsi="Arial" w:cs="Arial"/>
          <w:sz w:val="24"/>
          <w:szCs w:val="24"/>
        </w:rPr>
        <w:t>9.2</w:t>
      </w:r>
      <w:r w:rsidRPr="008D5BE4">
        <w:rPr>
          <w:rFonts w:ascii="Arial" w:eastAsia="Calibri" w:hAnsi="Arial" w:cs="Arial"/>
          <w:sz w:val="24"/>
          <w:szCs w:val="24"/>
        </w:rPr>
        <w:tab/>
        <w:t xml:space="preserve">Alongside the respective </w:t>
      </w:r>
      <w:r w:rsidR="004D17E8">
        <w:rPr>
          <w:rFonts w:ascii="Arial" w:eastAsia="Calibri" w:hAnsi="Arial" w:cs="Arial"/>
          <w:sz w:val="24"/>
          <w:szCs w:val="24"/>
        </w:rPr>
        <w:t>commissioning statements</w:t>
      </w:r>
      <w:r w:rsidRPr="008D5BE4">
        <w:rPr>
          <w:rFonts w:ascii="Arial" w:eastAsia="Calibri" w:hAnsi="Arial" w:cs="Arial"/>
          <w:sz w:val="24"/>
          <w:szCs w:val="24"/>
        </w:rPr>
        <w:t xml:space="preserve">, CCGs will also be expected to follow a </w:t>
      </w:r>
      <w:proofErr w:type="gramStart"/>
      <w:r w:rsidRPr="008D5BE4">
        <w:rPr>
          <w:rFonts w:ascii="Arial" w:eastAsia="Calibri" w:hAnsi="Arial" w:cs="Arial"/>
          <w:sz w:val="24"/>
          <w:szCs w:val="24"/>
        </w:rPr>
        <w:t>decision making</w:t>
      </w:r>
      <w:proofErr w:type="gramEnd"/>
      <w:r w:rsidRPr="008D5BE4">
        <w:rPr>
          <w:rFonts w:ascii="Arial" w:eastAsia="Calibri" w:hAnsi="Arial" w:cs="Arial"/>
          <w:sz w:val="24"/>
          <w:szCs w:val="24"/>
        </w:rPr>
        <w:t xml:space="preserve"> framework whilst making funding panel decisions. This framework will support the panel in ensuring that due process is followed for each request and that consistent </w:t>
      </w:r>
      <w:proofErr w:type="gramStart"/>
      <w:r w:rsidRPr="008D5BE4">
        <w:rPr>
          <w:rFonts w:ascii="Arial" w:eastAsia="Calibri" w:hAnsi="Arial" w:cs="Arial"/>
          <w:sz w:val="24"/>
          <w:szCs w:val="24"/>
        </w:rPr>
        <w:t>decision making</w:t>
      </w:r>
      <w:proofErr w:type="gramEnd"/>
      <w:r w:rsidRPr="008D5BE4">
        <w:rPr>
          <w:rFonts w:ascii="Arial" w:eastAsia="Calibri" w:hAnsi="Arial" w:cs="Arial"/>
          <w:sz w:val="24"/>
          <w:szCs w:val="24"/>
        </w:rPr>
        <w:t xml:space="preserve"> principles are applied.  </w:t>
      </w:r>
    </w:p>
    <w:p w14:paraId="21AA2A26" w14:textId="77777777" w:rsidR="00A24594" w:rsidRPr="008D5BE4" w:rsidRDefault="00A24594" w:rsidP="008D5BE4">
      <w:pPr>
        <w:rPr>
          <w:rFonts w:ascii="Arial" w:eastAsia="Calibri" w:hAnsi="Arial" w:cs="Arial"/>
        </w:rPr>
        <w:sectPr w:rsidR="00A24594" w:rsidRPr="008D5BE4" w:rsidSect="00747CF4">
          <w:footerReference w:type="default" r:id="rId13"/>
          <w:pgSz w:w="11906" w:h="16838"/>
          <w:pgMar w:top="720" w:right="720" w:bottom="720" w:left="720" w:header="709" w:footer="709" w:gutter="0"/>
          <w:cols w:space="708"/>
          <w:docGrid w:linePitch="360"/>
        </w:sectPr>
      </w:pPr>
    </w:p>
    <w:p w14:paraId="181FA9FB" w14:textId="77777777" w:rsidR="008D5BE4" w:rsidRPr="008D5BE4" w:rsidRDefault="008D5BE4" w:rsidP="008D5BE4">
      <w:pPr>
        <w:jc w:val="center"/>
        <w:rPr>
          <w:rFonts w:ascii="Calibri" w:eastAsia="Calibri" w:hAnsi="Calibri" w:cs="Times New Roman"/>
          <w:b/>
        </w:rPr>
      </w:pPr>
      <w:r w:rsidRPr="008D5BE4">
        <w:rPr>
          <w:rFonts w:ascii="Calibri" w:eastAsia="Calibri" w:hAnsi="Calibri" w:cs="Times New Roman"/>
          <w:b/>
        </w:rPr>
        <w:lastRenderedPageBreak/>
        <w:t>Appendix 1: IFR Panel Process Map</w:t>
      </w:r>
    </w:p>
    <w:p w14:paraId="11C8C22D" w14:textId="77777777" w:rsidR="008D5BE4" w:rsidRPr="008D5BE4" w:rsidRDefault="008D5BE4" w:rsidP="008D5BE4">
      <w:pPr>
        <w:rPr>
          <w:rFonts w:ascii="Arial" w:eastAsia="Calibri" w:hAnsi="Arial" w:cs="Arial"/>
          <w:sz w:val="24"/>
          <w:szCs w:val="24"/>
        </w:rPr>
      </w:pPr>
      <w:r w:rsidRPr="008D5BE4">
        <w:rPr>
          <w:rFonts w:ascii="Calibri" w:eastAsia="Calibri" w:hAnsi="Calibri" w:cs="Times New Roman"/>
          <w:noProof/>
          <w:lang w:eastAsia="en-GB"/>
        </w:rPr>
        <w:drawing>
          <wp:inline distT="0" distB="0" distL="0" distR="0" wp14:anchorId="29FD8BF3" wp14:editId="6CFFCEDB">
            <wp:extent cx="9772153" cy="5221653"/>
            <wp:effectExtent l="0" t="0" r="0" b="0"/>
            <wp:docPr id="19" name="Picture 19" descr="Flow chart detailing the IFR pane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7730" cy="5224633"/>
                    </a:xfrm>
                    <a:prstGeom prst="rect">
                      <a:avLst/>
                    </a:prstGeom>
                    <a:noFill/>
                    <a:ln>
                      <a:noFill/>
                    </a:ln>
                  </pic:spPr>
                </pic:pic>
              </a:graphicData>
            </a:graphic>
          </wp:inline>
        </w:drawing>
      </w:r>
    </w:p>
    <w:p w14:paraId="5DCDF078" w14:textId="77777777" w:rsidR="008D5BE4" w:rsidRPr="008D5BE4" w:rsidRDefault="008D5BE4" w:rsidP="008D5BE4">
      <w:pPr>
        <w:spacing w:after="0" w:line="240" w:lineRule="auto"/>
        <w:jc w:val="center"/>
        <w:rPr>
          <w:rFonts w:ascii="Calibri" w:eastAsia="Calibri" w:hAnsi="Calibri" w:cs="Times New Roman"/>
          <w:b/>
        </w:rPr>
      </w:pPr>
      <w:r w:rsidRPr="008D5BE4">
        <w:rPr>
          <w:rFonts w:ascii="Calibri" w:eastAsia="Calibri" w:hAnsi="Calibri" w:cs="Times New Roman"/>
          <w:b/>
        </w:rPr>
        <w:br w:type="page"/>
      </w:r>
      <w:r w:rsidRPr="008D5BE4">
        <w:rPr>
          <w:rFonts w:ascii="Calibri" w:eastAsia="Calibri" w:hAnsi="Calibri" w:cs="Times New Roman"/>
          <w:b/>
        </w:rPr>
        <w:lastRenderedPageBreak/>
        <w:t>Appendix 2: Appeals Panel Process Map</w:t>
      </w:r>
    </w:p>
    <w:p w14:paraId="408F074E" w14:textId="77777777" w:rsidR="008D5BE4" w:rsidRPr="008D5BE4" w:rsidRDefault="008D5BE4" w:rsidP="008D5BE4">
      <w:pPr>
        <w:spacing w:after="0" w:line="240" w:lineRule="auto"/>
        <w:jc w:val="center"/>
        <w:rPr>
          <w:rFonts w:ascii="Calibri" w:eastAsia="Calibri" w:hAnsi="Calibri" w:cs="Times New Roman"/>
          <w:b/>
        </w:rPr>
      </w:pPr>
      <w:r w:rsidRPr="008D5BE4">
        <w:rPr>
          <w:rFonts w:ascii="Calibri" w:eastAsia="Calibri" w:hAnsi="Calibri" w:cs="Times New Roman"/>
          <w:noProof/>
          <w:lang w:eastAsia="en-GB"/>
        </w:rPr>
        <w:drawing>
          <wp:inline distT="0" distB="0" distL="0" distR="0" wp14:anchorId="266A4279" wp14:editId="2A30ADB9">
            <wp:extent cx="9446149" cy="5239909"/>
            <wp:effectExtent l="0" t="0" r="0" b="0"/>
            <wp:docPr id="25" name="Picture 25" descr="Flow chart detailing the appeals pane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46906" cy="5240329"/>
                    </a:xfrm>
                    <a:prstGeom prst="rect">
                      <a:avLst/>
                    </a:prstGeom>
                    <a:noFill/>
                    <a:ln>
                      <a:noFill/>
                    </a:ln>
                  </pic:spPr>
                </pic:pic>
              </a:graphicData>
            </a:graphic>
          </wp:inline>
        </w:drawing>
      </w:r>
    </w:p>
    <w:p w14:paraId="4A1821C3" w14:textId="77777777" w:rsidR="00D82066" w:rsidRDefault="00D82066">
      <w:pPr>
        <w:rPr>
          <w:rFonts w:ascii="Calibri" w:eastAsia="Calibri" w:hAnsi="Calibri" w:cs="Times New Roman"/>
          <w:b/>
        </w:rPr>
        <w:sectPr w:rsidR="00D82066" w:rsidSect="00747CF4">
          <w:pgSz w:w="16838" w:h="11906" w:orient="landscape"/>
          <w:pgMar w:top="1440" w:right="1440" w:bottom="1440" w:left="1440" w:header="567" w:footer="567" w:gutter="0"/>
          <w:cols w:space="708"/>
          <w:docGrid w:linePitch="360"/>
        </w:sectPr>
      </w:pPr>
    </w:p>
    <w:p w14:paraId="1AD41B4C" w14:textId="77777777" w:rsidR="00AD2408" w:rsidRPr="00632EC1" w:rsidRDefault="0069120F" w:rsidP="008D5BE4">
      <w:pPr>
        <w:spacing w:after="0" w:line="240" w:lineRule="auto"/>
        <w:rPr>
          <w:rFonts w:ascii="Arial" w:eastAsia="Calibri" w:hAnsi="Arial" w:cs="Arial"/>
          <w:b/>
          <w:sz w:val="24"/>
          <w:szCs w:val="24"/>
        </w:rPr>
      </w:pPr>
      <w:r w:rsidRPr="00632EC1">
        <w:rPr>
          <w:rFonts w:ascii="Arial" w:eastAsia="Calibri" w:hAnsi="Arial" w:cs="Arial"/>
          <w:b/>
          <w:sz w:val="24"/>
          <w:szCs w:val="24"/>
        </w:rPr>
        <w:lastRenderedPageBreak/>
        <w:t>Appendix</w:t>
      </w:r>
      <w:r w:rsidR="00AD2408" w:rsidRPr="00632EC1">
        <w:rPr>
          <w:rFonts w:ascii="Arial" w:eastAsia="Calibri" w:hAnsi="Arial" w:cs="Arial"/>
          <w:b/>
          <w:sz w:val="24"/>
          <w:szCs w:val="24"/>
        </w:rPr>
        <w:t xml:space="preserve"> 3</w:t>
      </w:r>
    </w:p>
    <w:p w14:paraId="5627E3D6" w14:textId="77777777" w:rsidR="0069120F" w:rsidRPr="00632EC1" w:rsidRDefault="0069120F" w:rsidP="0069120F">
      <w:pPr>
        <w:autoSpaceDE w:val="0"/>
        <w:autoSpaceDN w:val="0"/>
        <w:adjustRightInd w:val="0"/>
        <w:spacing w:after="0" w:line="240" w:lineRule="auto"/>
        <w:rPr>
          <w:rFonts w:ascii="Arial" w:hAnsi="Arial" w:cs="Arial"/>
          <w:b/>
          <w:color w:val="000000"/>
          <w:sz w:val="24"/>
          <w:szCs w:val="24"/>
          <w:u w:val="single"/>
        </w:rPr>
      </w:pPr>
      <w:r w:rsidRPr="00632EC1">
        <w:rPr>
          <w:rFonts w:ascii="Arial" w:hAnsi="Arial" w:cs="Arial"/>
          <w:b/>
          <w:color w:val="000000"/>
          <w:sz w:val="24"/>
          <w:szCs w:val="24"/>
          <w:u w:val="single"/>
        </w:rPr>
        <w:t xml:space="preserve">Humber CCG aligned </w:t>
      </w:r>
      <w:r w:rsidR="0085446F">
        <w:rPr>
          <w:rFonts w:ascii="Arial" w:hAnsi="Arial" w:cs="Arial"/>
          <w:b/>
          <w:color w:val="000000"/>
          <w:sz w:val="24"/>
          <w:szCs w:val="24"/>
          <w:u w:val="single"/>
        </w:rPr>
        <w:t xml:space="preserve">commissioning </w:t>
      </w:r>
      <w:proofErr w:type="gramStart"/>
      <w:r w:rsidRPr="00632EC1">
        <w:rPr>
          <w:rFonts w:ascii="Arial" w:hAnsi="Arial" w:cs="Arial"/>
          <w:b/>
          <w:color w:val="000000"/>
          <w:sz w:val="24"/>
          <w:szCs w:val="24"/>
          <w:u w:val="single"/>
        </w:rPr>
        <w:t>statements</w:t>
      </w:r>
      <w:proofErr w:type="gramEnd"/>
      <w:r w:rsidRPr="00632EC1">
        <w:rPr>
          <w:rFonts w:ascii="Arial" w:hAnsi="Arial" w:cs="Arial"/>
          <w:b/>
          <w:color w:val="000000"/>
          <w:sz w:val="24"/>
          <w:szCs w:val="24"/>
          <w:u w:val="single"/>
        </w:rPr>
        <w:t xml:space="preserve"> </w:t>
      </w:r>
    </w:p>
    <w:p w14:paraId="535C6F8B" w14:textId="77777777" w:rsidR="0069120F" w:rsidRPr="00632EC1" w:rsidRDefault="0069120F" w:rsidP="0069120F">
      <w:pPr>
        <w:autoSpaceDE w:val="0"/>
        <w:autoSpaceDN w:val="0"/>
        <w:adjustRightInd w:val="0"/>
        <w:spacing w:after="0" w:line="240" w:lineRule="auto"/>
        <w:rPr>
          <w:rFonts w:ascii="Arial" w:hAnsi="Arial" w:cs="Arial"/>
          <w:b/>
          <w:color w:val="000000"/>
          <w:sz w:val="24"/>
          <w:szCs w:val="24"/>
          <w:u w:val="single"/>
        </w:rPr>
      </w:pPr>
    </w:p>
    <w:p w14:paraId="1C30096E" w14:textId="77777777" w:rsidR="0069120F" w:rsidRDefault="0069120F" w:rsidP="00B15CFA">
      <w:pPr>
        <w:autoSpaceDE w:val="0"/>
        <w:autoSpaceDN w:val="0"/>
        <w:adjustRightInd w:val="0"/>
        <w:spacing w:after="0" w:line="240" w:lineRule="auto"/>
        <w:jc w:val="both"/>
        <w:rPr>
          <w:rFonts w:ascii="Arial" w:hAnsi="Arial" w:cs="Arial"/>
          <w:color w:val="000000"/>
          <w:sz w:val="24"/>
          <w:szCs w:val="24"/>
        </w:rPr>
      </w:pPr>
      <w:r w:rsidRPr="00632EC1">
        <w:rPr>
          <w:rFonts w:ascii="Arial" w:hAnsi="Arial" w:cs="Arial"/>
          <w:color w:val="000000"/>
          <w:sz w:val="24"/>
          <w:szCs w:val="24"/>
        </w:rPr>
        <w:t xml:space="preserve">Hull, East Riding of Yorkshire, North Lincolnshire, and North East Lincolnshire Clinical Commissioning Groups (CCGs) have worked together to align </w:t>
      </w:r>
      <w:proofErr w:type="gramStart"/>
      <w:r w:rsidRPr="00632EC1">
        <w:rPr>
          <w:rFonts w:ascii="Arial" w:hAnsi="Arial" w:cs="Arial"/>
          <w:color w:val="000000"/>
          <w:sz w:val="24"/>
          <w:szCs w:val="24"/>
        </w:rPr>
        <w:t>a large number of</w:t>
      </w:r>
      <w:proofErr w:type="gramEnd"/>
      <w:r w:rsidRPr="00632EC1">
        <w:rPr>
          <w:rFonts w:ascii="Arial" w:hAnsi="Arial" w:cs="Arial"/>
          <w:color w:val="000000"/>
          <w:sz w:val="24"/>
          <w:szCs w:val="24"/>
        </w:rPr>
        <w:t xml:space="preserve"> CCG clinical commissioning statements across the Humber area. As part of this process, some of these statements have been amended and updated as per recommendations for interventions from the NHS England National Evidence-based Interventions Programme. </w:t>
      </w:r>
    </w:p>
    <w:p w14:paraId="79E683F2" w14:textId="77777777" w:rsidR="00F15499" w:rsidRDefault="00F15499" w:rsidP="00B15CFA">
      <w:pPr>
        <w:autoSpaceDE w:val="0"/>
        <w:autoSpaceDN w:val="0"/>
        <w:adjustRightInd w:val="0"/>
        <w:spacing w:after="0" w:line="240" w:lineRule="auto"/>
        <w:jc w:val="both"/>
        <w:rPr>
          <w:rFonts w:ascii="Arial" w:hAnsi="Arial" w:cs="Arial"/>
          <w:color w:val="000000"/>
          <w:sz w:val="24"/>
          <w:szCs w:val="24"/>
        </w:rPr>
      </w:pPr>
    </w:p>
    <w:p w14:paraId="1B60C397" w14:textId="77777777" w:rsidR="00F15499" w:rsidRPr="00632EC1" w:rsidRDefault="00F15499" w:rsidP="00B15CF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CCG will continue to work with colleagues in other CCG’s and NECS to review and improve the processes and systems </w:t>
      </w:r>
      <w:proofErr w:type="gramStart"/>
      <w:r>
        <w:rPr>
          <w:rFonts w:ascii="Arial" w:hAnsi="Arial" w:cs="Arial"/>
          <w:color w:val="000000"/>
          <w:sz w:val="24"/>
          <w:szCs w:val="24"/>
        </w:rPr>
        <w:t>in light of</w:t>
      </w:r>
      <w:proofErr w:type="gramEnd"/>
      <w:r>
        <w:rPr>
          <w:rFonts w:ascii="Arial" w:hAnsi="Arial" w:cs="Arial"/>
          <w:color w:val="000000"/>
          <w:sz w:val="24"/>
          <w:szCs w:val="24"/>
        </w:rPr>
        <w:t xml:space="preserve"> expected further developments on Evidence Based Interventions </w:t>
      </w:r>
      <w:r w:rsidR="008570F3">
        <w:rPr>
          <w:rFonts w:ascii="Arial" w:hAnsi="Arial" w:cs="Arial"/>
          <w:color w:val="000000"/>
          <w:sz w:val="24"/>
          <w:szCs w:val="24"/>
        </w:rPr>
        <w:t>and overall IFR processes.</w:t>
      </w:r>
    </w:p>
    <w:p w14:paraId="6A3C4840" w14:textId="77777777" w:rsidR="0069120F" w:rsidRPr="00632EC1" w:rsidRDefault="0069120F" w:rsidP="00B15CFA">
      <w:pPr>
        <w:spacing w:after="0" w:line="240" w:lineRule="auto"/>
        <w:jc w:val="both"/>
        <w:rPr>
          <w:rFonts w:ascii="Arial" w:eastAsia="Calibri" w:hAnsi="Arial" w:cs="Arial"/>
          <w:b/>
          <w:sz w:val="24"/>
          <w:szCs w:val="24"/>
        </w:rPr>
      </w:pPr>
    </w:p>
    <w:p w14:paraId="25ACBBA2" w14:textId="77777777" w:rsidR="0069120F" w:rsidRPr="00444F44" w:rsidRDefault="00815FE0" w:rsidP="00B15CFA">
      <w:pPr>
        <w:spacing w:after="0" w:line="240" w:lineRule="auto"/>
        <w:jc w:val="both"/>
        <w:rPr>
          <w:rFonts w:ascii="Arial" w:eastAsia="Calibri" w:hAnsi="Arial" w:cs="Arial"/>
          <w:b/>
          <w:sz w:val="24"/>
          <w:szCs w:val="24"/>
        </w:rPr>
      </w:pPr>
      <w:r w:rsidRPr="00444F44">
        <w:rPr>
          <w:rFonts w:ascii="Arial" w:eastAsia="Calibri" w:hAnsi="Arial" w:cs="Arial"/>
          <w:b/>
          <w:sz w:val="24"/>
          <w:szCs w:val="24"/>
        </w:rPr>
        <w:t xml:space="preserve">The </w:t>
      </w:r>
      <w:r w:rsidR="003E68AB" w:rsidRPr="00444F44">
        <w:rPr>
          <w:rFonts w:ascii="Arial" w:eastAsia="Calibri" w:hAnsi="Arial" w:cs="Arial"/>
          <w:b/>
          <w:sz w:val="24"/>
          <w:szCs w:val="24"/>
        </w:rPr>
        <w:t xml:space="preserve">Humber Single Commissioning Statement (shared policies) </w:t>
      </w:r>
      <w:r w:rsidRPr="00444F44">
        <w:rPr>
          <w:rFonts w:ascii="Arial" w:eastAsia="Calibri" w:hAnsi="Arial" w:cs="Arial"/>
          <w:b/>
          <w:sz w:val="24"/>
          <w:szCs w:val="24"/>
        </w:rPr>
        <w:t>should be read in conjunction with th</w:t>
      </w:r>
      <w:r w:rsidR="004C27DA" w:rsidRPr="00444F44">
        <w:rPr>
          <w:rFonts w:ascii="Arial" w:eastAsia="Calibri" w:hAnsi="Arial" w:cs="Arial"/>
          <w:b/>
          <w:sz w:val="24"/>
          <w:szCs w:val="24"/>
        </w:rPr>
        <w:t>is</w:t>
      </w:r>
      <w:r w:rsidRPr="00444F44">
        <w:rPr>
          <w:rFonts w:ascii="Arial" w:eastAsia="Calibri" w:hAnsi="Arial" w:cs="Arial"/>
          <w:b/>
          <w:sz w:val="24"/>
          <w:szCs w:val="24"/>
        </w:rPr>
        <w:t xml:space="preserve"> IFR and prior approval policy.</w:t>
      </w:r>
      <w:r w:rsidR="003E68AB" w:rsidRPr="00444F44">
        <w:rPr>
          <w:rFonts w:ascii="Arial" w:eastAsia="Calibri" w:hAnsi="Arial" w:cs="Arial"/>
          <w:b/>
          <w:sz w:val="24"/>
          <w:szCs w:val="24"/>
        </w:rPr>
        <w:t xml:space="preserve">  Links to </w:t>
      </w:r>
      <w:r w:rsidR="00B864B8">
        <w:rPr>
          <w:rFonts w:ascii="Arial" w:eastAsia="Calibri" w:hAnsi="Arial" w:cs="Arial"/>
          <w:b/>
          <w:sz w:val="24"/>
          <w:szCs w:val="24"/>
        </w:rPr>
        <w:t>the</w:t>
      </w:r>
      <w:r w:rsidR="003E68AB" w:rsidRPr="00444F44">
        <w:rPr>
          <w:rFonts w:ascii="Arial" w:eastAsia="Calibri" w:hAnsi="Arial" w:cs="Arial"/>
          <w:b/>
          <w:sz w:val="24"/>
          <w:szCs w:val="24"/>
        </w:rPr>
        <w:t xml:space="preserve"> statements appear below:</w:t>
      </w:r>
    </w:p>
    <w:p w14:paraId="6EA6FD68" w14:textId="77777777" w:rsidR="00B15CFA" w:rsidRPr="00444F44" w:rsidRDefault="00B15CFA" w:rsidP="00B15CFA">
      <w:pPr>
        <w:spacing w:after="0" w:line="240" w:lineRule="auto"/>
        <w:jc w:val="both"/>
        <w:rPr>
          <w:rFonts w:ascii="Arial" w:eastAsia="Calibri" w:hAnsi="Arial" w:cs="Arial"/>
          <w:b/>
          <w:i/>
          <w:sz w:val="24"/>
          <w:szCs w:val="24"/>
        </w:rPr>
      </w:pPr>
    </w:p>
    <w:p w14:paraId="17546A88" w14:textId="02904052" w:rsidR="00C76857" w:rsidRDefault="005245E5" w:rsidP="00B15CFA">
      <w:pPr>
        <w:spacing w:after="0" w:line="240" w:lineRule="auto"/>
        <w:jc w:val="both"/>
        <w:rPr>
          <w:rStyle w:val="Hyperlink"/>
          <w:rFonts w:ascii="Arial" w:eastAsia="Calibri" w:hAnsi="Arial" w:cs="Arial"/>
          <w:b/>
          <w:sz w:val="24"/>
          <w:szCs w:val="24"/>
        </w:rPr>
      </w:pPr>
      <w:hyperlink r:id="rId16" w:history="1">
        <w:r w:rsidR="00493E78" w:rsidRPr="00493E78">
          <w:rPr>
            <w:rStyle w:val="Hyperlink"/>
            <w:rFonts w:ascii="Arial" w:eastAsia="Calibri" w:hAnsi="Arial" w:cs="Arial"/>
            <w:b/>
            <w:sz w:val="24"/>
            <w:szCs w:val="24"/>
          </w:rPr>
          <w:t>Humber Single Commissioning Statement</w:t>
        </w:r>
      </w:hyperlink>
    </w:p>
    <w:p w14:paraId="7300383E" w14:textId="6A7A940A" w:rsidR="00B779CE" w:rsidRDefault="00B779CE" w:rsidP="00B15CFA">
      <w:pPr>
        <w:spacing w:after="0" w:line="240" w:lineRule="auto"/>
        <w:jc w:val="both"/>
        <w:rPr>
          <w:rStyle w:val="Hyperlink"/>
          <w:rFonts w:ascii="Arial" w:eastAsia="Calibri" w:hAnsi="Arial" w:cs="Arial"/>
          <w:b/>
          <w:sz w:val="24"/>
          <w:szCs w:val="24"/>
        </w:rPr>
      </w:pPr>
    </w:p>
    <w:p w14:paraId="7B8E3B97" w14:textId="241C7934" w:rsidR="00B779CE" w:rsidRPr="00493E78" w:rsidRDefault="005245E5" w:rsidP="00B15CFA">
      <w:pPr>
        <w:spacing w:after="0" w:line="240" w:lineRule="auto"/>
        <w:jc w:val="both"/>
        <w:rPr>
          <w:rFonts w:ascii="Arial" w:eastAsia="Calibri" w:hAnsi="Arial" w:cs="Arial"/>
          <w:b/>
          <w:sz w:val="24"/>
          <w:szCs w:val="24"/>
        </w:rPr>
      </w:pPr>
      <w:hyperlink r:id="rId17" w:history="1">
        <w:r w:rsidR="00B779CE">
          <w:rPr>
            <w:rStyle w:val="Hyperlink"/>
            <w:rFonts w:ascii="Arial" w:eastAsia="Calibri" w:hAnsi="Arial" w:cs="Arial"/>
            <w:b/>
            <w:sz w:val="24"/>
            <w:szCs w:val="24"/>
          </w:rPr>
          <w:t>Humber Wave 2 Single Policy document</w:t>
        </w:r>
      </w:hyperlink>
      <w:r w:rsidR="00B779CE">
        <w:rPr>
          <w:rFonts w:ascii="Arial" w:eastAsia="Calibri" w:hAnsi="Arial" w:cs="Arial"/>
          <w:b/>
          <w:sz w:val="24"/>
          <w:szCs w:val="24"/>
        </w:rPr>
        <w:t xml:space="preserve"> </w:t>
      </w:r>
    </w:p>
    <w:p w14:paraId="1C879EAD" w14:textId="77777777" w:rsidR="00493E78" w:rsidRPr="00493E78" w:rsidRDefault="00493E78" w:rsidP="00B15CFA">
      <w:pPr>
        <w:spacing w:after="0" w:line="240" w:lineRule="auto"/>
        <w:jc w:val="both"/>
        <w:rPr>
          <w:rFonts w:ascii="Arial" w:eastAsia="Calibri" w:hAnsi="Arial" w:cs="Arial"/>
          <w:b/>
          <w:sz w:val="24"/>
          <w:szCs w:val="24"/>
        </w:rPr>
      </w:pPr>
    </w:p>
    <w:p w14:paraId="19DF2053" w14:textId="77777777" w:rsidR="003E68AB" w:rsidRPr="00444F44" w:rsidRDefault="003E68AB" w:rsidP="00B15CFA">
      <w:pPr>
        <w:spacing w:after="0" w:line="240" w:lineRule="auto"/>
        <w:jc w:val="both"/>
        <w:rPr>
          <w:rFonts w:ascii="Arial" w:eastAsia="Calibri" w:hAnsi="Arial" w:cs="Arial"/>
          <w:b/>
          <w:i/>
          <w:sz w:val="24"/>
          <w:szCs w:val="24"/>
        </w:rPr>
      </w:pPr>
    </w:p>
    <w:p w14:paraId="1FE7E2F3" w14:textId="77777777" w:rsidR="00815FE0" w:rsidRPr="00990451" w:rsidRDefault="00990451" w:rsidP="00B15CFA">
      <w:pPr>
        <w:spacing w:after="0" w:line="240" w:lineRule="auto"/>
        <w:jc w:val="both"/>
        <w:rPr>
          <w:rFonts w:ascii="Arial" w:eastAsia="Calibri" w:hAnsi="Arial" w:cs="Arial"/>
          <w:b/>
          <w:i/>
          <w:sz w:val="28"/>
          <w:szCs w:val="28"/>
        </w:rPr>
      </w:pPr>
      <w:r w:rsidRPr="00444F44">
        <w:rPr>
          <w:rFonts w:ascii="Arial" w:eastAsia="Calibri" w:hAnsi="Arial" w:cs="Arial"/>
          <w:b/>
          <w:i/>
          <w:sz w:val="24"/>
          <w:szCs w:val="24"/>
        </w:rPr>
        <w:t>NOTE: The CCG policy on IVF is a separate document, aligned with Yorkshire and Humber overall policy and should be accessed from the website and read in conjunction with this policy. “Access to infertility treatment - Commissioning Policy Document”</w:t>
      </w:r>
    </w:p>
    <w:p w14:paraId="1DFA531B" w14:textId="77777777" w:rsidR="00815FE0" w:rsidRDefault="00815FE0" w:rsidP="00B15CFA">
      <w:pPr>
        <w:spacing w:after="0" w:line="240" w:lineRule="auto"/>
        <w:jc w:val="both"/>
        <w:rPr>
          <w:rFonts w:ascii="Arial" w:eastAsia="Calibri" w:hAnsi="Arial" w:cs="Arial"/>
          <w:b/>
          <w:sz w:val="28"/>
          <w:szCs w:val="28"/>
        </w:rPr>
      </w:pPr>
    </w:p>
    <w:p w14:paraId="2752E995" w14:textId="77777777" w:rsidR="00B7747A" w:rsidRDefault="00B7747A" w:rsidP="00B7747A"/>
    <w:sectPr w:rsidR="00B7747A" w:rsidSect="004161A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E1DE" w14:textId="77777777" w:rsidR="00A637D5" w:rsidRDefault="00A637D5" w:rsidP="00A8357C">
      <w:pPr>
        <w:spacing w:after="0" w:line="240" w:lineRule="auto"/>
      </w:pPr>
      <w:r>
        <w:separator/>
      </w:r>
    </w:p>
  </w:endnote>
  <w:endnote w:type="continuationSeparator" w:id="0">
    <w:p w14:paraId="28C23E3A" w14:textId="77777777" w:rsidR="00A637D5" w:rsidRDefault="00A637D5" w:rsidP="00A8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23933"/>
      <w:docPartObj>
        <w:docPartGallery w:val="Page Numbers (Bottom of Page)"/>
        <w:docPartUnique/>
      </w:docPartObj>
    </w:sdtPr>
    <w:sdtEndPr/>
    <w:sdtContent>
      <w:sdt>
        <w:sdtPr>
          <w:id w:val="860082579"/>
          <w:docPartObj>
            <w:docPartGallery w:val="Page Numbers (Top of Page)"/>
            <w:docPartUnique/>
          </w:docPartObj>
        </w:sdtPr>
        <w:sdtEndPr/>
        <w:sdtContent>
          <w:p w14:paraId="16D3E7A6" w14:textId="77777777" w:rsidR="00FA50CB" w:rsidRDefault="00FA50C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24F37">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4F37">
              <w:rPr>
                <w:b/>
                <w:bCs/>
                <w:noProof/>
              </w:rPr>
              <w:t>19</w:t>
            </w:r>
            <w:r>
              <w:rPr>
                <w:b/>
                <w:bCs/>
                <w:sz w:val="24"/>
                <w:szCs w:val="24"/>
              </w:rPr>
              <w:fldChar w:fldCharType="end"/>
            </w:r>
          </w:p>
          <w:p w14:paraId="5A6A896B" w14:textId="77777777" w:rsidR="00FA50CB" w:rsidRDefault="005245E5" w:rsidP="00747CF4">
            <w:pPr>
              <w:tabs>
                <w:tab w:val="center" w:pos="4513"/>
                <w:tab w:val="right" w:pos="9026"/>
              </w:tabs>
              <w:spacing w:after="0" w:line="240" w:lineRule="auto"/>
            </w:pPr>
          </w:p>
        </w:sdtContent>
      </w:sdt>
    </w:sdtContent>
  </w:sdt>
  <w:p w14:paraId="4426BDF7" w14:textId="77777777" w:rsidR="00FA50CB" w:rsidRPr="00653770" w:rsidRDefault="00FA50CB" w:rsidP="00747CF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418B" w14:textId="77777777" w:rsidR="00A637D5" w:rsidRDefault="00A637D5" w:rsidP="00A8357C">
      <w:pPr>
        <w:spacing w:after="0" w:line="240" w:lineRule="auto"/>
      </w:pPr>
      <w:r>
        <w:separator/>
      </w:r>
    </w:p>
  </w:footnote>
  <w:footnote w:type="continuationSeparator" w:id="0">
    <w:p w14:paraId="7C3A8B3F" w14:textId="77777777" w:rsidR="00A637D5" w:rsidRDefault="00A637D5" w:rsidP="00A83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781272"/>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3D368F2"/>
    <w:multiLevelType w:val="multilevel"/>
    <w:tmpl w:val="6D5CE26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101EA3"/>
    <w:multiLevelType w:val="hybridMultilevel"/>
    <w:tmpl w:val="E93E7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4B21AE"/>
    <w:multiLevelType w:val="hybridMultilevel"/>
    <w:tmpl w:val="281C1F1C"/>
    <w:lvl w:ilvl="0" w:tplc="48F093B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C5109"/>
    <w:multiLevelType w:val="hybridMultilevel"/>
    <w:tmpl w:val="8B640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5A14EA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CC45EF9"/>
    <w:multiLevelType w:val="hybridMultilevel"/>
    <w:tmpl w:val="51B295A8"/>
    <w:lvl w:ilvl="0" w:tplc="BDDC31F0">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4269F"/>
    <w:multiLevelType w:val="hybridMultilevel"/>
    <w:tmpl w:val="A0103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E349E1"/>
    <w:multiLevelType w:val="hybridMultilevel"/>
    <w:tmpl w:val="0A3C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51ED6"/>
    <w:multiLevelType w:val="hybridMultilevel"/>
    <w:tmpl w:val="7AE6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A0944"/>
    <w:multiLevelType w:val="hybridMultilevel"/>
    <w:tmpl w:val="6F3E0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62E12"/>
    <w:multiLevelType w:val="hybridMultilevel"/>
    <w:tmpl w:val="2C2A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5338A"/>
    <w:multiLevelType w:val="hybridMultilevel"/>
    <w:tmpl w:val="CD84D1F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13" w15:restartNumberingAfterBreak="0">
    <w:nsid w:val="768C2FA7"/>
    <w:multiLevelType w:val="multilevel"/>
    <w:tmpl w:val="5B809EFA"/>
    <w:styleLink w:val="Style1"/>
    <w:lvl w:ilvl="0">
      <w:start w:val="1"/>
      <w:numFmt w:val="decimal"/>
      <w:lvlText w:val="%1."/>
      <w:lvlJc w:val="left"/>
      <w:pPr>
        <w:tabs>
          <w:tab w:val="num" w:pos="1080"/>
        </w:tabs>
        <w:ind w:left="1080" w:hanging="360"/>
      </w:pPr>
      <w:rPr>
        <w:rFonts w:ascii="Arial" w:hAnsi="Arial"/>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7DDA58E1"/>
    <w:multiLevelType w:val="hybridMultilevel"/>
    <w:tmpl w:val="EDF6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63CB0"/>
    <w:multiLevelType w:val="hybridMultilevel"/>
    <w:tmpl w:val="F89C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785290">
    <w:abstractNumId w:val="1"/>
  </w:num>
  <w:num w:numId="2" w16cid:durableId="1509828757">
    <w:abstractNumId w:val="4"/>
  </w:num>
  <w:num w:numId="3" w16cid:durableId="1608073559">
    <w:abstractNumId w:val="7"/>
  </w:num>
  <w:num w:numId="4" w16cid:durableId="1906068966">
    <w:abstractNumId w:val="2"/>
  </w:num>
  <w:num w:numId="5" w16cid:durableId="47799075">
    <w:abstractNumId w:val="11"/>
  </w:num>
  <w:num w:numId="6" w16cid:durableId="1884245406">
    <w:abstractNumId w:val="15"/>
  </w:num>
  <w:num w:numId="7" w16cid:durableId="357320565">
    <w:abstractNumId w:val="14"/>
  </w:num>
  <w:num w:numId="8" w16cid:durableId="613483646">
    <w:abstractNumId w:val="6"/>
  </w:num>
  <w:num w:numId="9" w16cid:durableId="201290827">
    <w:abstractNumId w:val="8"/>
  </w:num>
  <w:num w:numId="10" w16cid:durableId="2006980837">
    <w:abstractNumId w:val="9"/>
  </w:num>
  <w:num w:numId="11" w16cid:durableId="609974070">
    <w:abstractNumId w:val="3"/>
  </w:num>
  <w:num w:numId="12" w16cid:durableId="1023020496">
    <w:abstractNumId w:val="13"/>
  </w:num>
  <w:num w:numId="13" w16cid:durableId="428503594">
    <w:abstractNumId w:val="5"/>
  </w:num>
  <w:num w:numId="14" w16cid:durableId="664360322">
    <w:abstractNumId w:val="0"/>
  </w:num>
  <w:num w:numId="15" w16cid:durableId="1615211076">
    <w:abstractNumId w:val="10"/>
  </w:num>
  <w:num w:numId="16" w16cid:durableId="82906048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EA"/>
    <w:rsid w:val="00010FCC"/>
    <w:rsid w:val="00017BFE"/>
    <w:rsid w:val="0002075E"/>
    <w:rsid w:val="00026FD8"/>
    <w:rsid w:val="00033F97"/>
    <w:rsid w:val="0004119C"/>
    <w:rsid w:val="00043555"/>
    <w:rsid w:val="000536D4"/>
    <w:rsid w:val="00055192"/>
    <w:rsid w:val="00056B76"/>
    <w:rsid w:val="0006219C"/>
    <w:rsid w:val="000622D8"/>
    <w:rsid w:val="0006334E"/>
    <w:rsid w:val="000668E4"/>
    <w:rsid w:val="00077CC4"/>
    <w:rsid w:val="00091FCD"/>
    <w:rsid w:val="000A1A90"/>
    <w:rsid w:val="000A5B7E"/>
    <w:rsid w:val="000B544A"/>
    <w:rsid w:val="000B60DA"/>
    <w:rsid w:val="000C42CB"/>
    <w:rsid w:val="000E3E6D"/>
    <w:rsid w:val="000E5113"/>
    <w:rsid w:val="00102F11"/>
    <w:rsid w:val="00104A54"/>
    <w:rsid w:val="00131AC5"/>
    <w:rsid w:val="00131BC9"/>
    <w:rsid w:val="0013298D"/>
    <w:rsid w:val="001348E5"/>
    <w:rsid w:val="00141C77"/>
    <w:rsid w:val="00142D0E"/>
    <w:rsid w:val="0014704A"/>
    <w:rsid w:val="00152385"/>
    <w:rsid w:val="0015240E"/>
    <w:rsid w:val="0015369C"/>
    <w:rsid w:val="00155B5D"/>
    <w:rsid w:val="00160289"/>
    <w:rsid w:val="001604AC"/>
    <w:rsid w:val="00163BC6"/>
    <w:rsid w:val="00165EF2"/>
    <w:rsid w:val="001772BB"/>
    <w:rsid w:val="00180C9C"/>
    <w:rsid w:val="00193B40"/>
    <w:rsid w:val="001A5FD3"/>
    <w:rsid w:val="001A782E"/>
    <w:rsid w:val="001B3757"/>
    <w:rsid w:val="001B4DA6"/>
    <w:rsid w:val="001C5CC8"/>
    <w:rsid w:val="001C7F20"/>
    <w:rsid w:val="001E6986"/>
    <w:rsid w:val="001F3F49"/>
    <w:rsid w:val="001F4CA4"/>
    <w:rsid w:val="001F4D9D"/>
    <w:rsid w:val="001F67A7"/>
    <w:rsid w:val="00203D0B"/>
    <w:rsid w:val="002140B0"/>
    <w:rsid w:val="00216C6B"/>
    <w:rsid w:val="002244D2"/>
    <w:rsid w:val="00231C97"/>
    <w:rsid w:val="0023560E"/>
    <w:rsid w:val="002474EC"/>
    <w:rsid w:val="00271433"/>
    <w:rsid w:val="00293234"/>
    <w:rsid w:val="00295036"/>
    <w:rsid w:val="0029744C"/>
    <w:rsid w:val="002A326F"/>
    <w:rsid w:val="002B0349"/>
    <w:rsid w:val="002F39F1"/>
    <w:rsid w:val="002F77A4"/>
    <w:rsid w:val="00302108"/>
    <w:rsid w:val="00306BB2"/>
    <w:rsid w:val="00311FCA"/>
    <w:rsid w:val="00327C4A"/>
    <w:rsid w:val="00346B49"/>
    <w:rsid w:val="0035063F"/>
    <w:rsid w:val="00355D19"/>
    <w:rsid w:val="00362D81"/>
    <w:rsid w:val="003738DF"/>
    <w:rsid w:val="00373B18"/>
    <w:rsid w:val="003757FF"/>
    <w:rsid w:val="00380DE7"/>
    <w:rsid w:val="003811ED"/>
    <w:rsid w:val="00394A12"/>
    <w:rsid w:val="0039651C"/>
    <w:rsid w:val="003B2570"/>
    <w:rsid w:val="003C0736"/>
    <w:rsid w:val="003C363C"/>
    <w:rsid w:val="003C7EDB"/>
    <w:rsid w:val="003D7387"/>
    <w:rsid w:val="003E68AB"/>
    <w:rsid w:val="003E763A"/>
    <w:rsid w:val="003F2A55"/>
    <w:rsid w:val="00404075"/>
    <w:rsid w:val="00415165"/>
    <w:rsid w:val="004161A2"/>
    <w:rsid w:val="00432209"/>
    <w:rsid w:val="00444F44"/>
    <w:rsid w:val="00451107"/>
    <w:rsid w:val="00451404"/>
    <w:rsid w:val="00464764"/>
    <w:rsid w:val="00465346"/>
    <w:rsid w:val="004752F8"/>
    <w:rsid w:val="0049079F"/>
    <w:rsid w:val="00491E60"/>
    <w:rsid w:val="004928C3"/>
    <w:rsid w:val="00493E78"/>
    <w:rsid w:val="004A6A40"/>
    <w:rsid w:val="004C27DA"/>
    <w:rsid w:val="004D13F3"/>
    <w:rsid w:val="004D17E8"/>
    <w:rsid w:val="004D7EB2"/>
    <w:rsid w:val="004E2E9E"/>
    <w:rsid w:val="004F0CBA"/>
    <w:rsid w:val="00510D0C"/>
    <w:rsid w:val="005156DE"/>
    <w:rsid w:val="005245E5"/>
    <w:rsid w:val="005315AD"/>
    <w:rsid w:val="0053410D"/>
    <w:rsid w:val="00541BD6"/>
    <w:rsid w:val="00542FC3"/>
    <w:rsid w:val="005438F8"/>
    <w:rsid w:val="00564F8B"/>
    <w:rsid w:val="005720AD"/>
    <w:rsid w:val="005861F9"/>
    <w:rsid w:val="00586782"/>
    <w:rsid w:val="005B2A9D"/>
    <w:rsid w:val="005B5B10"/>
    <w:rsid w:val="005B72F1"/>
    <w:rsid w:val="005C0FB4"/>
    <w:rsid w:val="005C7741"/>
    <w:rsid w:val="005D08EB"/>
    <w:rsid w:val="005D0E6C"/>
    <w:rsid w:val="005F1223"/>
    <w:rsid w:val="00603873"/>
    <w:rsid w:val="006175F3"/>
    <w:rsid w:val="0062394E"/>
    <w:rsid w:val="00632EC1"/>
    <w:rsid w:val="0065061B"/>
    <w:rsid w:val="0065186F"/>
    <w:rsid w:val="00661C0A"/>
    <w:rsid w:val="00683AB7"/>
    <w:rsid w:val="00684788"/>
    <w:rsid w:val="0069120F"/>
    <w:rsid w:val="00694D2E"/>
    <w:rsid w:val="00696F3F"/>
    <w:rsid w:val="006A075D"/>
    <w:rsid w:val="006C6116"/>
    <w:rsid w:val="006D6C00"/>
    <w:rsid w:val="006E2CDC"/>
    <w:rsid w:val="006F3D8D"/>
    <w:rsid w:val="00701CE2"/>
    <w:rsid w:val="00714F56"/>
    <w:rsid w:val="00721A20"/>
    <w:rsid w:val="007331E1"/>
    <w:rsid w:val="00733C6B"/>
    <w:rsid w:val="00747CF4"/>
    <w:rsid w:val="00751B88"/>
    <w:rsid w:val="00752C8B"/>
    <w:rsid w:val="00772F3E"/>
    <w:rsid w:val="00787921"/>
    <w:rsid w:val="00793C9D"/>
    <w:rsid w:val="007A02A5"/>
    <w:rsid w:val="007C337F"/>
    <w:rsid w:val="007D634F"/>
    <w:rsid w:val="007D773B"/>
    <w:rsid w:val="007E549D"/>
    <w:rsid w:val="00806A1B"/>
    <w:rsid w:val="00815FE0"/>
    <w:rsid w:val="00825E71"/>
    <w:rsid w:val="00832178"/>
    <w:rsid w:val="00844C03"/>
    <w:rsid w:val="00845A5D"/>
    <w:rsid w:val="0084747D"/>
    <w:rsid w:val="0085446F"/>
    <w:rsid w:val="008570F3"/>
    <w:rsid w:val="00866C2B"/>
    <w:rsid w:val="0087143C"/>
    <w:rsid w:val="00877957"/>
    <w:rsid w:val="00890D96"/>
    <w:rsid w:val="008A757D"/>
    <w:rsid w:val="008C1455"/>
    <w:rsid w:val="008D5BE4"/>
    <w:rsid w:val="008E67E6"/>
    <w:rsid w:val="008F16C3"/>
    <w:rsid w:val="00903F23"/>
    <w:rsid w:val="009138C5"/>
    <w:rsid w:val="00924377"/>
    <w:rsid w:val="00930629"/>
    <w:rsid w:val="00941D8D"/>
    <w:rsid w:val="0097283A"/>
    <w:rsid w:val="00990451"/>
    <w:rsid w:val="00995AE9"/>
    <w:rsid w:val="009B79DE"/>
    <w:rsid w:val="009C135E"/>
    <w:rsid w:val="009C29DF"/>
    <w:rsid w:val="009C5750"/>
    <w:rsid w:val="009C7DB7"/>
    <w:rsid w:val="009E6148"/>
    <w:rsid w:val="009F2DE1"/>
    <w:rsid w:val="00A079BC"/>
    <w:rsid w:val="00A1238D"/>
    <w:rsid w:val="00A1241C"/>
    <w:rsid w:val="00A14FC6"/>
    <w:rsid w:val="00A22D70"/>
    <w:rsid w:val="00A24594"/>
    <w:rsid w:val="00A43463"/>
    <w:rsid w:val="00A526AD"/>
    <w:rsid w:val="00A637D5"/>
    <w:rsid w:val="00A74AAF"/>
    <w:rsid w:val="00A8357C"/>
    <w:rsid w:val="00A90876"/>
    <w:rsid w:val="00AB415B"/>
    <w:rsid w:val="00AD2408"/>
    <w:rsid w:val="00AD34A7"/>
    <w:rsid w:val="00AE1175"/>
    <w:rsid w:val="00AE39E0"/>
    <w:rsid w:val="00AE61AA"/>
    <w:rsid w:val="00AE679A"/>
    <w:rsid w:val="00B06007"/>
    <w:rsid w:val="00B15CFA"/>
    <w:rsid w:val="00B16CEA"/>
    <w:rsid w:val="00B21FE5"/>
    <w:rsid w:val="00B22F1C"/>
    <w:rsid w:val="00B237E2"/>
    <w:rsid w:val="00B31728"/>
    <w:rsid w:val="00B35C00"/>
    <w:rsid w:val="00B43822"/>
    <w:rsid w:val="00B43985"/>
    <w:rsid w:val="00B62E84"/>
    <w:rsid w:val="00B67165"/>
    <w:rsid w:val="00B72B43"/>
    <w:rsid w:val="00B7747A"/>
    <w:rsid w:val="00B779CE"/>
    <w:rsid w:val="00B81D89"/>
    <w:rsid w:val="00B82631"/>
    <w:rsid w:val="00B864B8"/>
    <w:rsid w:val="00B87018"/>
    <w:rsid w:val="00BD0F08"/>
    <w:rsid w:val="00C04E1A"/>
    <w:rsid w:val="00C255D0"/>
    <w:rsid w:val="00C3748B"/>
    <w:rsid w:val="00C41069"/>
    <w:rsid w:val="00C4491C"/>
    <w:rsid w:val="00C4746B"/>
    <w:rsid w:val="00C52F34"/>
    <w:rsid w:val="00C54075"/>
    <w:rsid w:val="00C65B25"/>
    <w:rsid w:val="00C728E9"/>
    <w:rsid w:val="00C76857"/>
    <w:rsid w:val="00C84FBA"/>
    <w:rsid w:val="00C926FA"/>
    <w:rsid w:val="00C94596"/>
    <w:rsid w:val="00CB07EE"/>
    <w:rsid w:val="00CB170A"/>
    <w:rsid w:val="00CB481D"/>
    <w:rsid w:val="00CB6F1F"/>
    <w:rsid w:val="00CC3754"/>
    <w:rsid w:val="00CD276B"/>
    <w:rsid w:val="00CF7F75"/>
    <w:rsid w:val="00D103BF"/>
    <w:rsid w:val="00D2088F"/>
    <w:rsid w:val="00D32A87"/>
    <w:rsid w:val="00D32FC9"/>
    <w:rsid w:val="00D4075A"/>
    <w:rsid w:val="00D715D3"/>
    <w:rsid w:val="00D72360"/>
    <w:rsid w:val="00D74FDF"/>
    <w:rsid w:val="00D76EE3"/>
    <w:rsid w:val="00D82066"/>
    <w:rsid w:val="00D85462"/>
    <w:rsid w:val="00D900F1"/>
    <w:rsid w:val="00D93C21"/>
    <w:rsid w:val="00D96A58"/>
    <w:rsid w:val="00DA4597"/>
    <w:rsid w:val="00DB6097"/>
    <w:rsid w:val="00DB6939"/>
    <w:rsid w:val="00DB7751"/>
    <w:rsid w:val="00DC37B0"/>
    <w:rsid w:val="00DE1594"/>
    <w:rsid w:val="00DE4310"/>
    <w:rsid w:val="00E00684"/>
    <w:rsid w:val="00E11A64"/>
    <w:rsid w:val="00E15C13"/>
    <w:rsid w:val="00E16026"/>
    <w:rsid w:val="00E24F37"/>
    <w:rsid w:val="00E37D1C"/>
    <w:rsid w:val="00E52952"/>
    <w:rsid w:val="00E52CBF"/>
    <w:rsid w:val="00E54ADA"/>
    <w:rsid w:val="00E61F5E"/>
    <w:rsid w:val="00E90410"/>
    <w:rsid w:val="00EB5F7A"/>
    <w:rsid w:val="00ED1E9E"/>
    <w:rsid w:val="00ED2C76"/>
    <w:rsid w:val="00ED559C"/>
    <w:rsid w:val="00EF44F9"/>
    <w:rsid w:val="00F15499"/>
    <w:rsid w:val="00F268F2"/>
    <w:rsid w:val="00F402B5"/>
    <w:rsid w:val="00F42ECA"/>
    <w:rsid w:val="00F52AB4"/>
    <w:rsid w:val="00F54B6A"/>
    <w:rsid w:val="00F574EF"/>
    <w:rsid w:val="00F6027C"/>
    <w:rsid w:val="00F6219E"/>
    <w:rsid w:val="00F72698"/>
    <w:rsid w:val="00F7401C"/>
    <w:rsid w:val="00F97C99"/>
    <w:rsid w:val="00F97CC1"/>
    <w:rsid w:val="00FA50CB"/>
    <w:rsid w:val="00FB01AF"/>
    <w:rsid w:val="00FB2A14"/>
    <w:rsid w:val="00FE7725"/>
    <w:rsid w:val="00FF0B96"/>
    <w:rsid w:val="00FF164C"/>
    <w:rsid w:val="00FF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750E0"/>
  <w15:docId w15:val="{633B3C76-FBAC-43A4-AB1A-CD6D9D74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B5"/>
  </w:style>
  <w:style w:type="paragraph" w:styleId="Heading1">
    <w:name w:val="heading 1"/>
    <w:basedOn w:val="Normal"/>
    <w:next w:val="Normal"/>
    <w:link w:val="Heading1Char"/>
    <w:uiPriority w:val="9"/>
    <w:qFormat/>
    <w:rsid w:val="004161A2"/>
    <w:pPr>
      <w:keepNext/>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unhideWhenUsed/>
    <w:qFormat/>
    <w:rsid w:val="004161A2"/>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4161A2"/>
    <w:pPr>
      <w:keepNext/>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4161A2"/>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16CEA"/>
  </w:style>
  <w:style w:type="paragraph" w:styleId="Header">
    <w:name w:val="header"/>
    <w:basedOn w:val="Normal"/>
    <w:link w:val="HeaderChar"/>
    <w:uiPriority w:val="99"/>
    <w:unhideWhenUsed/>
    <w:rsid w:val="00B16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EA"/>
  </w:style>
  <w:style w:type="paragraph" w:styleId="Footer">
    <w:name w:val="footer"/>
    <w:basedOn w:val="Normal"/>
    <w:link w:val="FooterChar"/>
    <w:uiPriority w:val="99"/>
    <w:unhideWhenUsed/>
    <w:rsid w:val="00B16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EA"/>
  </w:style>
  <w:style w:type="paragraph" w:styleId="BalloonText">
    <w:name w:val="Balloon Text"/>
    <w:basedOn w:val="Normal"/>
    <w:link w:val="BalloonTextChar"/>
    <w:uiPriority w:val="99"/>
    <w:semiHidden/>
    <w:unhideWhenUsed/>
    <w:rsid w:val="00B16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EA"/>
    <w:rPr>
      <w:rFonts w:ascii="Tahoma" w:hAnsi="Tahoma" w:cs="Tahoma"/>
      <w:sz w:val="16"/>
      <w:szCs w:val="16"/>
    </w:rPr>
  </w:style>
  <w:style w:type="table" w:styleId="TableGrid">
    <w:name w:val="Table Grid"/>
    <w:basedOn w:val="TableNormal"/>
    <w:uiPriority w:val="59"/>
    <w:rsid w:val="00B1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CEA"/>
    <w:pPr>
      <w:spacing w:after="0" w:line="240" w:lineRule="auto"/>
      <w:ind w:left="720"/>
      <w:contextualSpacing/>
    </w:pPr>
  </w:style>
  <w:style w:type="character" w:styleId="Hyperlink">
    <w:name w:val="Hyperlink"/>
    <w:basedOn w:val="DefaultParagraphFont"/>
    <w:uiPriority w:val="99"/>
    <w:unhideWhenUsed/>
    <w:rsid w:val="00B16CEA"/>
    <w:rPr>
      <w:color w:val="0000FF" w:themeColor="hyperlink"/>
      <w:u w:val="single"/>
    </w:rPr>
  </w:style>
  <w:style w:type="character" w:styleId="CommentReference">
    <w:name w:val="annotation reference"/>
    <w:basedOn w:val="DefaultParagraphFont"/>
    <w:uiPriority w:val="99"/>
    <w:unhideWhenUsed/>
    <w:rsid w:val="00B16CEA"/>
    <w:rPr>
      <w:sz w:val="16"/>
      <w:szCs w:val="16"/>
    </w:rPr>
  </w:style>
  <w:style w:type="paragraph" w:styleId="CommentText">
    <w:name w:val="annotation text"/>
    <w:basedOn w:val="Normal"/>
    <w:link w:val="CommentTextChar"/>
    <w:uiPriority w:val="99"/>
    <w:unhideWhenUsed/>
    <w:rsid w:val="00B16CEA"/>
    <w:pPr>
      <w:spacing w:after="0" w:line="240" w:lineRule="auto"/>
    </w:pPr>
    <w:rPr>
      <w:sz w:val="20"/>
      <w:szCs w:val="20"/>
    </w:rPr>
  </w:style>
  <w:style w:type="character" w:customStyle="1" w:styleId="CommentTextChar">
    <w:name w:val="Comment Text Char"/>
    <w:basedOn w:val="DefaultParagraphFont"/>
    <w:link w:val="CommentText"/>
    <w:uiPriority w:val="99"/>
    <w:rsid w:val="00B16CEA"/>
    <w:rPr>
      <w:sz w:val="20"/>
      <w:szCs w:val="20"/>
    </w:rPr>
  </w:style>
  <w:style w:type="paragraph" w:styleId="CommentSubject">
    <w:name w:val="annotation subject"/>
    <w:basedOn w:val="CommentText"/>
    <w:next w:val="CommentText"/>
    <w:link w:val="CommentSubjectChar"/>
    <w:uiPriority w:val="99"/>
    <w:unhideWhenUsed/>
    <w:rsid w:val="00B16CEA"/>
    <w:rPr>
      <w:b/>
      <w:bCs/>
    </w:rPr>
  </w:style>
  <w:style w:type="character" w:customStyle="1" w:styleId="CommentSubjectChar">
    <w:name w:val="Comment Subject Char"/>
    <w:basedOn w:val="CommentTextChar"/>
    <w:link w:val="CommentSubject"/>
    <w:uiPriority w:val="99"/>
    <w:rsid w:val="00B16CEA"/>
    <w:rPr>
      <w:b/>
      <w:bCs/>
      <w:sz w:val="20"/>
      <w:szCs w:val="20"/>
    </w:rPr>
  </w:style>
  <w:style w:type="paragraph" w:styleId="NoSpacing">
    <w:name w:val="No Spacing"/>
    <w:link w:val="NoSpacingChar"/>
    <w:uiPriority w:val="1"/>
    <w:qFormat/>
    <w:rsid w:val="0065061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5061B"/>
    <w:rPr>
      <w:rFonts w:eastAsiaTheme="minorEastAsia"/>
      <w:lang w:val="en-US" w:eastAsia="ja-JP"/>
    </w:rPr>
  </w:style>
  <w:style w:type="table" w:customStyle="1" w:styleId="TableGrid1">
    <w:name w:val="Table Grid1"/>
    <w:basedOn w:val="TableNormal"/>
    <w:next w:val="TableGrid"/>
    <w:rsid w:val="00E5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61A2"/>
    <w:rPr>
      <w:rFonts w:ascii="Arial" w:eastAsia="Times New Roman" w:hAnsi="Arial" w:cs="Times New Roman"/>
      <w:b/>
      <w:szCs w:val="20"/>
    </w:rPr>
  </w:style>
  <w:style w:type="character" w:customStyle="1" w:styleId="Heading2Char">
    <w:name w:val="Heading 2 Char"/>
    <w:basedOn w:val="DefaultParagraphFont"/>
    <w:link w:val="Heading2"/>
    <w:uiPriority w:val="9"/>
    <w:rsid w:val="004161A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161A2"/>
    <w:rPr>
      <w:rFonts w:ascii="Arial" w:eastAsia="Times New Roman" w:hAnsi="Arial" w:cs="Arial"/>
      <w:b/>
      <w:bCs/>
      <w:sz w:val="24"/>
      <w:szCs w:val="24"/>
    </w:rPr>
  </w:style>
  <w:style w:type="character" w:customStyle="1" w:styleId="Heading4Char">
    <w:name w:val="Heading 4 Char"/>
    <w:basedOn w:val="DefaultParagraphFont"/>
    <w:link w:val="Heading4"/>
    <w:rsid w:val="004161A2"/>
    <w:rPr>
      <w:rFonts w:ascii="Times New Roman" w:eastAsia="Times New Roman" w:hAnsi="Times New Roman" w:cs="Times New Roman"/>
      <w:b/>
      <w:bCs/>
      <w:sz w:val="28"/>
      <w:szCs w:val="28"/>
    </w:rPr>
  </w:style>
  <w:style w:type="numbering" w:customStyle="1" w:styleId="NoList2">
    <w:name w:val="No List2"/>
    <w:next w:val="NoList"/>
    <w:semiHidden/>
    <w:rsid w:val="004161A2"/>
  </w:style>
  <w:style w:type="paragraph" w:styleId="BodyText">
    <w:name w:val="Body Text"/>
    <w:basedOn w:val="Normal"/>
    <w:link w:val="BodyTextChar"/>
    <w:rsid w:val="004161A2"/>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4161A2"/>
    <w:rPr>
      <w:rFonts w:ascii="Arial" w:eastAsia="Times New Roman" w:hAnsi="Arial" w:cs="Times New Roman"/>
      <w:szCs w:val="20"/>
    </w:rPr>
  </w:style>
  <w:style w:type="paragraph" w:styleId="BodyText2">
    <w:name w:val="Body Text 2"/>
    <w:basedOn w:val="Normal"/>
    <w:link w:val="BodyText2Char"/>
    <w:rsid w:val="004161A2"/>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rsid w:val="004161A2"/>
    <w:rPr>
      <w:rFonts w:ascii="Arial" w:eastAsia="Times New Roman" w:hAnsi="Arial" w:cs="Arial"/>
      <w:b/>
      <w:bCs/>
      <w:sz w:val="24"/>
      <w:szCs w:val="24"/>
    </w:rPr>
  </w:style>
  <w:style w:type="paragraph" w:styleId="BodyTextIndent">
    <w:name w:val="Body Text Indent"/>
    <w:basedOn w:val="Normal"/>
    <w:link w:val="BodyTextIndentChar"/>
    <w:rsid w:val="004161A2"/>
    <w:pPr>
      <w:spacing w:after="0" w:line="240" w:lineRule="auto"/>
      <w:ind w:left="144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4161A2"/>
    <w:rPr>
      <w:rFonts w:ascii="Arial" w:eastAsia="Times New Roman" w:hAnsi="Arial" w:cs="Arial"/>
      <w:sz w:val="24"/>
      <w:szCs w:val="24"/>
    </w:rPr>
  </w:style>
  <w:style w:type="character" w:styleId="PageNumber">
    <w:name w:val="page number"/>
    <w:basedOn w:val="DefaultParagraphFont"/>
    <w:rsid w:val="004161A2"/>
  </w:style>
  <w:style w:type="character" w:customStyle="1" w:styleId="ZoeTuxworth">
    <w:name w:val="Zoe Tuxworth"/>
    <w:semiHidden/>
    <w:rsid w:val="004161A2"/>
    <w:rPr>
      <w:rFonts w:ascii="Arial" w:hAnsi="Arial" w:cs="Arial"/>
      <w:b w:val="0"/>
      <w:bCs w:val="0"/>
      <w:i w:val="0"/>
      <w:iCs w:val="0"/>
      <w:strike w:val="0"/>
      <w:color w:val="auto"/>
      <w:sz w:val="24"/>
      <w:szCs w:val="24"/>
      <w:u w:val="none"/>
    </w:rPr>
  </w:style>
  <w:style w:type="numbering" w:styleId="111111">
    <w:name w:val="Outline List 2"/>
    <w:basedOn w:val="NoList"/>
    <w:rsid w:val="004161A2"/>
    <w:pPr>
      <w:numPr>
        <w:numId w:val="13"/>
      </w:numPr>
    </w:pPr>
  </w:style>
  <w:style w:type="table" w:customStyle="1" w:styleId="TableStyle1">
    <w:name w:val="Table Style1"/>
    <w:basedOn w:val="TableNormal"/>
    <w:rsid w:val="004161A2"/>
    <w:pPr>
      <w:spacing w:after="0" w:line="240" w:lineRule="auto"/>
    </w:pPr>
    <w:rPr>
      <w:rFonts w:ascii="Times New Roman" w:eastAsia="Times New Roman" w:hAnsi="Times New Roman" w:cs="Times New Roman"/>
      <w:sz w:val="20"/>
      <w:szCs w:val="20"/>
      <w:lang w:eastAsia="en-GB"/>
    </w:rPr>
    <w:tblPr/>
  </w:style>
  <w:style w:type="numbering" w:customStyle="1" w:styleId="Style1">
    <w:name w:val="Style1"/>
    <w:rsid w:val="004161A2"/>
    <w:pPr>
      <w:numPr>
        <w:numId w:val="12"/>
      </w:numPr>
    </w:pPr>
  </w:style>
  <w:style w:type="paragraph" w:styleId="Title">
    <w:name w:val="Title"/>
    <w:basedOn w:val="Normal"/>
    <w:link w:val="TitleChar"/>
    <w:qFormat/>
    <w:rsid w:val="004161A2"/>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4161A2"/>
    <w:rPr>
      <w:rFonts w:ascii="Times New Roman" w:eastAsia="Times New Roman" w:hAnsi="Times New Roman" w:cs="Times New Roman"/>
      <w:b/>
      <w:sz w:val="36"/>
      <w:szCs w:val="20"/>
    </w:rPr>
  </w:style>
  <w:style w:type="paragraph" w:styleId="DocumentMap">
    <w:name w:val="Document Map"/>
    <w:basedOn w:val="Normal"/>
    <w:link w:val="DocumentMapChar"/>
    <w:rsid w:val="004161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161A2"/>
    <w:rPr>
      <w:rFonts w:ascii="Tahoma" w:eastAsia="Times New Roman" w:hAnsi="Tahoma" w:cs="Tahoma"/>
      <w:sz w:val="20"/>
      <w:szCs w:val="20"/>
      <w:shd w:val="clear" w:color="auto" w:fill="000080"/>
    </w:rPr>
  </w:style>
  <w:style w:type="character" w:styleId="FollowedHyperlink">
    <w:name w:val="FollowedHyperlink"/>
    <w:uiPriority w:val="99"/>
    <w:rsid w:val="004161A2"/>
    <w:rPr>
      <w:color w:val="800080"/>
      <w:u w:val="single"/>
    </w:rPr>
  </w:style>
  <w:style w:type="paragraph" w:customStyle="1" w:styleId="CharCharCharCharCharCharCharCharChar1CharCharCharChar">
    <w:name w:val="Char Char Char Char Char Char Char Char Char1 Char Char Char Char"/>
    <w:basedOn w:val="Normal"/>
    <w:rsid w:val="004161A2"/>
    <w:pPr>
      <w:spacing w:after="120" w:line="240" w:lineRule="exact"/>
    </w:pPr>
    <w:rPr>
      <w:rFonts w:ascii="Verdana" w:eastAsia="Times New Roman" w:hAnsi="Verdana" w:cs="Verdana"/>
      <w:sz w:val="20"/>
      <w:szCs w:val="20"/>
      <w:lang w:val="en-US"/>
    </w:rPr>
  </w:style>
  <w:style w:type="character" w:styleId="Emphasis">
    <w:name w:val="Emphasis"/>
    <w:uiPriority w:val="20"/>
    <w:qFormat/>
    <w:rsid w:val="004161A2"/>
    <w:rPr>
      <w:i/>
      <w:iCs/>
    </w:rPr>
  </w:style>
  <w:style w:type="table" w:customStyle="1" w:styleId="TableGrid3">
    <w:name w:val="Table Grid3"/>
    <w:basedOn w:val="TableNormal"/>
    <w:next w:val="TableGrid"/>
    <w:rsid w:val="004161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161A2"/>
    <w:rPr>
      <w:b/>
      <w:bCs/>
    </w:rPr>
  </w:style>
  <w:style w:type="character" w:customStyle="1" w:styleId="citation">
    <w:name w:val="citation"/>
    <w:rsid w:val="004161A2"/>
    <w:rPr>
      <w:i w:val="0"/>
      <w:iCs w:val="0"/>
    </w:rPr>
  </w:style>
  <w:style w:type="paragraph" w:customStyle="1" w:styleId="Default">
    <w:name w:val="Default"/>
    <w:rsid w:val="004161A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4161A2"/>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citationjournal">
    <w:name w:val="citation journal"/>
    <w:rsid w:val="004161A2"/>
  </w:style>
  <w:style w:type="character" w:customStyle="1" w:styleId="printonly">
    <w:name w:val="printonly"/>
    <w:rsid w:val="004161A2"/>
  </w:style>
  <w:style w:type="character" w:customStyle="1" w:styleId="reference-accessdate">
    <w:name w:val="reference-accessdate"/>
    <w:rsid w:val="004161A2"/>
  </w:style>
  <w:style w:type="character" w:customStyle="1" w:styleId="z3988">
    <w:name w:val="z3988"/>
    <w:rsid w:val="004161A2"/>
  </w:style>
  <w:style w:type="character" w:customStyle="1" w:styleId="citationweb">
    <w:name w:val="citation web"/>
    <w:rsid w:val="004161A2"/>
  </w:style>
  <w:style w:type="paragraph" w:styleId="ListBullet">
    <w:name w:val="List Bullet"/>
    <w:basedOn w:val="Normal"/>
    <w:uiPriority w:val="99"/>
    <w:unhideWhenUsed/>
    <w:rsid w:val="004161A2"/>
    <w:pPr>
      <w:numPr>
        <w:numId w:val="14"/>
      </w:numPr>
      <w:tabs>
        <w:tab w:val="clear" w:pos="360"/>
        <w:tab w:val="num" w:pos="1080"/>
      </w:tabs>
      <w:spacing w:after="120" w:line="240" w:lineRule="auto"/>
      <w:ind w:left="357" w:hanging="357"/>
    </w:pPr>
    <w:rPr>
      <w:rFonts w:ascii="Arial" w:eastAsia="Calibri" w:hAnsi="Arial" w:cs="Arial"/>
      <w:color w:val="000000"/>
      <w:lang w:eastAsia="en-GB"/>
    </w:rPr>
  </w:style>
  <w:style w:type="character" w:customStyle="1" w:styleId="st1">
    <w:name w:val="st1"/>
    <w:rsid w:val="004161A2"/>
  </w:style>
  <w:style w:type="paragraph" w:styleId="PlainText">
    <w:name w:val="Plain Text"/>
    <w:basedOn w:val="Normal"/>
    <w:link w:val="PlainTextChar"/>
    <w:uiPriority w:val="99"/>
    <w:unhideWhenUsed/>
    <w:rsid w:val="004161A2"/>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rsid w:val="004161A2"/>
    <w:rPr>
      <w:rFonts w:ascii="Calibri" w:eastAsia="Times New Roman" w:hAnsi="Calibri" w:cs="Consolas"/>
      <w:szCs w:val="21"/>
      <w:lang w:eastAsia="en-GB"/>
    </w:rPr>
  </w:style>
  <w:style w:type="paragraph" w:styleId="TOCHeading">
    <w:name w:val="TOC Heading"/>
    <w:basedOn w:val="Heading1"/>
    <w:next w:val="Normal"/>
    <w:uiPriority w:val="39"/>
    <w:unhideWhenUsed/>
    <w:qFormat/>
    <w:rsid w:val="0069120F"/>
    <w:pPr>
      <w:keepLines/>
      <w:spacing w:before="240" w:line="259" w:lineRule="auto"/>
      <w:jc w:val="left"/>
      <w:outlineLvl w:val="9"/>
    </w:pPr>
    <w:rPr>
      <w:rFonts w:asciiTheme="minorHAnsi" w:eastAsiaTheme="majorEastAsia" w:hAnsiTheme="minorHAnsi" w:cstheme="majorBidi"/>
      <w:sz w:val="28"/>
      <w:szCs w:val="32"/>
      <w:lang w:val="en-US"/>
    </w:rPr>
  </w:style>
  <w:style w:type="paragraph" w:styleId="TOC2">
    <w:name w:val="toc 2"/>
    <w:basedOn w:val="Normal"/>
    <w:next w:val="Normal"/>
    <w:autoRedefine/>
    <w:uiPriority w:val="39"/>
    <w:unhideWhenUsed/>
    <w:rsid w:val="0069120F"/>
    <w:pPr>
      <w:spacing w:after="100" w:line="240" w:lineRule="auto"/>
      <w:ind w:left="220"/>
    </w:pPr>
    <w:rPr>
      <w:rFonts w:ascii="Calibri" w:hAnsi="Calibri" w:cs="Calibri"/>
    </w:rPr>
  </w:style>
  <w:style w:type="paragraph" w:styleId="TOC1">
    <w:name w:val="toc 1"/>
    <w:basedOn w:val="Normal"/>
    <w:next w:val="Normal"/>
    <w:autoRedefine/>
    <w:uiPriority w:val="39"/>
    <w:unhideWhenUsed/>
    <w:rsid w:val="0069120F"/>
    <w:pPr>
      <w:spacing w:after="100" w:line="240" w:lineRule="auto"/>
    </w:pPr>
    <w:rPr>
      <w:rFonts w:ascii="Calibri" w:hAnsi="Calibri" w:cs="Calibri"/>
    </w:rPr>
  </w:style>
  <w:style w:type="numbering" w:customStyle="1" w:styleId="NoList3">
    <w:name w:val="No List3"/>
    <w:next w:val="NoList"/>
    <w:uiPriority w:val="99"/>
    <w:semiHidden/>
    <w:unhideWhenUsed/>
    <w:rsid w:val="00D82066"/>
  </w:style>
  <w:style w:type="table" w:customStyle="1" w:styleId="TableGrid4">
    <w:name w:val="Table Grid4"/>
    <w:basedOn w:val="TableNormal"/>
    <w:next w:val="TableGrid"/>
    <w:uiPriority w:val="59"/>
    <w:rsid w:val="00D8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2066"/>
    <w:pPr>
      <w:widowControl w:val="0"/>
      <w:autoSpaceDE w:val="0"/>
      <w:autoSpaceDN w:val="0"/>
      <w:spacing w:after="0" w:line="240" w:lineRule="auto"/>
    </w:pPr>
    <w:rPr>
      <w:rFonts w:ascii="Arial" w:eastAsia="Arial" w:hAnsi="Arial" w:cs="Arial"/>
      <w:lang w:val="en-US"/>
    </w:rPr>
  </w:style>
  <w:style w:type="table" w:customStyle="1" w:styleId="TableGrid11">
    <w:name w:val="Table Grid11"/>
    <w:basedOn w:val="TableNormal"/>
    <w:next w:val="TableGrid"/>
    <w:rsid w:val="00D820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1">
    <w:name w:val="TOC 31"/>
    <w:basedOn w:val="Normal"/>
    <w:next w:val="Normal"/>
    <w:autoRedefine/>
    <w:uiPriority w:val="39"/>
    <w:unhideWhenUsed/>
    <w:rsid w:val="00D82066"/>
    <w:pPr>
      <w:spacing w:after="100"/>
      <w:ind w:left="440"/>
    </w:pPr>
    <w:rPr>
      <w:rFonts w:eastAsia="Times New Roman"/>
      <w:lang w:eastAsia="en-GB"/>
    </w:rPr>
  </w:style>
  <w:style w:type="paragraph" w:customStyle="1" w:styleId="TOC41">
    <w:name w:val="TOC 41"/>
    <w:basedOn w:val="Normal"/>
    <w:next w:val="Normal"/>
    <w:autoRedefine/>
    <w:uiPriority w:val="39"/>
    <w:unhideWhenUsed/>
    <w:rsid w:val="00D82066"/>
    <w:pPr>
      <w:spacing w:after="100"/>
      <w:ind w:left="660"/>
    </w:pPr>
    <w:rPr>
      <w:rFonts w:eastAsia="Times New Roman"/>
      <w:lang w:eastAsia="en-GB"/>
    </w:rPr>
  </w:style>
  <w:style w:type="paragraph" w:customStyle="1" w:styleId="TOC51">
    <w:name w:val="TOC 51"/>
    <w:basedOn w:val="Normal"/>
    <w:next w:val="Normal"/>
    <w:autoRedefine/>
    <w:uiPriority w:val="39"/>
    <w:unhideWhenUsed/>
    <w:rsid w:val="00D82066"/>
    <w:pPr>
      <w:spacing w:after="100"/>
      <w:ind w:left="880"/>
    </w:pPr>
    <w:rPr>
      <w:rFonts w:eastAsia="Times New Roman"/>
      <w:lang w:eastAsia="en-GB"/>
    </w:rPr>
  </w:style>
  <w:style w:type="paragraph" w:customStyle="1" w:styleId="TOC61">
    <w:name w:val="TOC 61"/>
    <w:basedOn w:val="Normal"/>
    <w:next w:val="Normal"/>
    <w:autoRedefine/>
    <w:uiPriority w:val="39"/>
    <w:unhideWhenUsed/>
    <w:rsid w:val="00D82066"/>
    <w:pPr>
      <w:spacing w:after="100"/>
      <w:ind w:left="1100"/>
    </w:pPr>
    <w:rPr>
      <w:rFonts w:eastAsia="Times New Roman"/>
      <w:lang w:eastAsia="en-GB"/>
    </w:rPr>
  </w:style>
  <w:style w:type="paragraph" w:customStyle="1" w:styleId="TOC71">
    <w:name w:val="TOC 71"/>
    <w:basedOn w:val="Normal"/>
    <w:next w:val="Normal"/>
    <w:autoRedefine/>
    <w:uiPriority w:val="39"/>
    <w:unhideWhenUsed/>
    <w:rsid w:val="00D82066"/>
    <w:pPr>
      <w:spacing w:after="100"/>
      <w:ind w:left="1320"/>
    </w:pPr>
    <w:rPr>
      <w:rFonts w:eastAsia="Times New Roman"/>
      <w:lang w:eastAsia="en-GB"/>
    </w:rPr>
  </w:style>
  <w:style w:type="paragraph" w:customStyle="1" w:styleId="TOC81">
    <w:name w:val="TOC 81"/>
    <w:basedOn w:val="Normal"/>
    <w:next w:val="Normal"/>
    <w:autoRedefine/>
    <w:uiPriority w:val="39"/>
    <w:unhideWhenUsed/>
    <w:rsid w:val="00D82066"/>
    <w:pPr>
      <w:spacing w:after="100"/>
      <w:ind w:left="1540"/>
    </w:pPr>
    <w:rPr>
      <w:rFonts w:eastAsia="Times New Roman"/>
      <w:lang w:eastAsia="en-GB"/>
    </w:rPr>
  </w:style>
  <w:style w:type="paragraph" w:customStyle="1" w:styleId="TOC91">
    <w:name w:val="TOC 91"/>
    <w:basedOn w:val="Normal"/>
    <w:next w:val="Normal"/>
    <w:autoRedefine/>
    <w:uiPriority w:val="39"/>
    <w:unhideWhenUsed/>
    <w:rsid w:val="00D82066"/>
    <w:pPr>
      <w:spacing w:after="100"/>
      <w:ind w:left="1760"/>
    </w:pPr>
    <w:rPr>
      <w:rFonts w:eastAsia="Times New Roman"/>
      <w:lang w:eastAsia="en-GB"/>
    </w:rPr>
  </w:style>
  <w:style w:type="paragraph" w:styleId="TOC3">
    <w:name w:val="toc 3"/>
    <w:basedOn w:val="Normal"/>
    <w:next w:val="Normal"/>
    <w:autoRedefine/>
    <w:uiPriority w:val="39"/>
    <w:unhideWhenUsed/>
    <w:rsid w:val="00632EC1"/>
    <w:pPr>
      <w:spacing w:after="100"/>
      <w:ind w:left="440"/>
    </w:pPr>
    <w:rPr>
      <w:rFonts w:eastAsiaTheme="minorEastAsia"/>
      <w:lang w:eastAsia="en-GB"/>
    </w:rPr>
  </w:style>
  <w:style w:type="paragraph" w:styleId="TOC4">
    <w:name w:val="toc 4"/>
    <w:basedOn w:val="Normal"/>
    <w:next w:val="Normal"/>
    <w:autoRedefine/>
    <w:uiPriority w:val="39"/>
    <w:unhideWhenUsed/>
    <w:rsid w:val="00632EC1"/>
    <w:pPr>
      <w:spacing w:after="100"/>
      <w:ind w:left="660"/>
    </w:pPr>
    <w:rPr>
      <w:rFonts w:eastAsiaTheme="minorEastAsia"/>
      <w:lang w:eastAsia="en-GB"/>
    </w:rPr>
  </w:style>
  <w:style w:type="paragraph" w:styleId="TOC5">
    <w:name w:val="toc 5"/>
    <w:basedOn w:val="Normal"/>
    <w:next w:val="Normal"/>
    <w:autoRedefine/>
    <w:uiPriority w:val="39"/>
    <w:unhideWhenUsed/>
    <w:rsid w:val="00632EC1"/>
    <w:pPr>
      <w:spacing w:after="100"/>
      <w:ind w:left="880"/>
    </w:pPr>
    <w:rPr>
      <w:rFonts w:eastAsiaTheme="minorEastAsia"/>
      <w:lang w:eastAsia="en-GB"/>
    </w:rPr>
  </w:style>
  <w:style w:type="paragraph" w:styleId="TOC6">
    <w:name w:val="toc 6"/>
    <w:basedOn w:val="Normal"/>
    <w:next w:val="Normal"/>
    <w:autoRedefine/>
    <w:uiPriority w:val="39"/>
    <w:unhideWhenUsed/>
    <w:rsid w:val="00632EC1"/>
    <w:pPr>
      <w:spacing w:after="100"/>
      <w:ind w:left="1100"/>
    </w:pPr>
    <w:rPr>
      <w:rFonts w:eastAsiaTheme="minorEastAsia"/>
      <w:lang w:eastAsia="en-GB"/>
    </w:rPr>
  </w:style>
  <w:style w:type="paragraph" w:styleId="TOC7">
    <w:name w:val="toc 7"/>
    <w:basedOn w:val="Normal"/>
    <w:next w:val="Normal"/>
    <w:autoRedefine/>
    <w:uiPriority w:val="39"/>
    <w:unhideWhenUsed/>
    <w:rsid w:val="00632EC1"/>
    <w:pPr>
      <w:spacing w:after="100"/>
      <w:ind w:left="1320"/>
    </w:pPr>
    <w:rPr>
      <w:rFonts w:eastAsiaTheme="minorEastAsia"/>
      <w:lang w:eastAsia="en-GB"/>
    </w:rPr>
  </w:style>
  <w:style w:type="paragraph" w:styleId="TOC8">
    <w:name w:val="toc 8"/>
    <w:basedOn w:val="Normal"/>
    <w:next w:val="Normal"/>
    <w:autoRedefine/>
    <w:uiPriority w:val="39"/>
    <w:unhideWhenUsed/>
    <w:rsid w:val="00632EC1"/>
    <w:pPr>
      <w:spacing w:after="100"/>
      <w:ind w:left="1540"/>
    </w:pPr>
    <w:rPr>
      <w:rFonts w:eastAsiaTheme="minorEastAsia"/>
      <w:lang w:eastAsia="en-GB"/>
    </w:rPr>
  </w:style>
  <w:style w:type="paragraph" w:styleId="TOC9">
    <w:name w:val="toc 9"/>
    <w:basedOn w:val="Normal"/>
    <w:next w:val="Normal"/>
    <w:autoRedefine/>
    <w:uiPriority w:val="39"/>
    <w:unhideWhenUsed/>
    <w:rsid w:val="00632EC1"/>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B7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74306">
      <w:bodyDiv w:val="1"/>
      <w:marLeft w:val="0"/>
      <w:marRight w:val="0"/>
      <w:marTop w:val="0"/>
      <w:marBottom w:val="0"/>
      <w:divBdr>
        <w:top w:val="none" w:sz="0" w:space="0" w:color="auto"/>
        <w:left w:val="none" w:sz="0" w:space="0" w:color="auto"/>
        <w:bottom w:val="none" w:sz="0" w:space="0" w:color="auto"/>
        <w:right w:val="none" w:sz="0" w:space="0" w:color="auto"/>
      </w:divBdr>
    </w:div>
    <w:div w:id="16312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nhsengland/healthcareabroad/plannedtreatment/pages/introduction/aspx" TargetMode="External"/><Relationship Id="rId17" Type="http://schemas.openxmlformats.org/officeDocument/2006/relationships/hyperlink" Target="https://portal.yhcs.org.uk/documents/5665646/5923567/Humber+Wave+2+Single+Policy+Document/beeb70bc-0ff8-4689-9238-f78d765f5a15" TargetMode="External"/><Relationship Id="rId2" Type="http://schemas.openxmlformats.org/officeDocument/2006/relationships/numbering" Target="numbering.xml"/><Relationship Id="rId16" Type="http://schemas.openxmlformats.org/officeDocument/2006/relationships/hyperlink" Target="https://portal.yhcs.org.uk/documents/5665646/5923567/Humber+Single+Commissioning+Statement/816d66a0-d92c-4e4a-ad9c-1eb1731f27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scb.europeanhealthcare@nhs.net"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northeastlincolnshireccg.nhs.uk/countering-fraud-in-the-n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yhcs.org.uk/documents/5665646/17351999/EIA+Individual+Funding+Requests/cf59234e-d800-47a3-8d4c-5adb72648ac0"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DF47-D1F4-42AD-B389-6E55AF06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5778</Words>
  <Characters>32939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Young</dc:creator>
  <cp:lastModifiedBy>HARRIS, Jeanette (NHS HUMBER AND NORTH YORKSHIRE ICB - 03H)</cp:lastModifiedBy>
  <cp:revision>5</cp:revision>
  <cp:lastPrinted>2017-12-18T14:43:00Z</cp:lastPrinted>
  <dcterms:created xsi:type="dcterms:W3CDTF">2021-11-30T15:22:00Z</dcterms:created>
  <dcterms:modified xsi:type="dcterms:W3CDTF">2023-03-14T13:27:00Z</dcterms:modified>
</cp:coreProperties>
</file>